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97" w:rsidRDefault="004D36C1">
      <w:pPr>
        <w:rPr>
          <w:rFonts w:ascii="Times New Roman" w:eastAsia="Times New Roman" w:hAnsi="Times New Roman" w:cs="Times New Roman"/>
          <w:sz w:val="24"/>
        </w:rPr>
      </w:pPr>
      <w:r>
        <w:rPr>
          <w:rFonts w:ascii="Times New Roman" w:eastAsia="Times New Roman" w:hAnsi="Times New Roman" w:cs="Times New Roman"/>
          <w:vanish/>
          <w:sz w:val="24"/>
          <w:szCs w:val="24"/>
        </w:rPr>
        <w:t> </w:t>
      </w:r>
    </w:p>
    <w:p w:rsidR="00504C97" w:rsidRDefault="004D36C1">
      <w:pPr>
        <w:pStyle w:val="13"/>
        <w:ind w:firstLine="0"/>
        <w:jc w:val="center"/>
      </w:pPr>
      <w:r>
        <w:rPr>
          <w:rFonts w:ascii="PT Astra Serif" w:hAnsi="PT Astra Serif" w:cs="PT Astra Serif"/>
          <w:sz w:val="28"/>
          <w:szCs w:val="28"/>
        </w:rPr>
        <w:t>ПОЯСНИТЕЛЬНАЯ ЗАПИСКА</w:t>
      </w:r>
    </w:p>
    <w:p w:rsidR="00504C97" w:rsidRDefault="004D36C1">
      <w:pPr>
        <w:jc w:val="center"/>
      </w:pPr>
      <w:r>
        <w:rPr>
          <w:rFonts w:ascii="PT Astra Serif" w:hAnsi="PT Astra Serif" w:cs="PT Astra Serif"/>
          <w:b/>
          <w:sz w:val="28"/>
          <w:szCs w:val="28"/>
        </w:rPr>
        <w:t xml:space="preserve">к отчету об исполнении областного бюджета Саратовской области </w:t>
      </w:r>
    </w:p>
    <w:p w:rsidR="00504C97" w:rsidRDefault="004D36C1">
      <w:pPr>
        <w:pStyle w:val="13"/>
        <w:ind w:firstLine="0"/>
        <w:jc w:val="center"/>
      </w:pPr>
      <w:r>
        <w:rPr>
          <w:rFonts w:ascii="PT Astra Serif" w:hAnsi="PT Astra Serif" w:cs="PT Astra Serif"/>
          <w:sz w:val="28"/>
          <w:szCs w:val="28"/>
        </w:rPr>
        <w:t>на 1 января 20</w:t>
      </w:r>
      <w:r>
        <w:rPr>
          <w:rFonts w:ascii="PT Astra Serif" w:hAnsi="PT Astra Serif" w:cs="PT Astra Serif"/>
          <w:sz w:val="28"/>
          <w:szCs w:val="28"/>
          <w:lang w:val="en-US"/>
        </w:rPr>
        <w:t>2</w:t>
      </w:r>
      <w:r>
        <w:rPr>
          <w:rFonts w:ascii="PT Astra Serif" w:hAnsi="PT Astra Serif" w:cs="PT Astra Serif"/>
          <w:sz w:val="28"/>
          <w:szCs w:val="28"/>
        </w:rPr>
        <w:t>6 года</w:t>
      </w:r>
    </w:p>
    <w:tbl>
      <w:tblPr>
        <w:tblW w:w="9798" w:type="dxa"/>
        <w:tblInd w:w="91" w:type="dxa"/>
        <w:tblLook w:val="04A0" w:firstRow="1" w:lastRow="0" w:firstColumn="1" w:lastColumn="0" w:noHBand="0" w:noVBand="1"/>
      </w:tblPr>
      <w:tblGrid>
        <w:gridCol w:w="2920"/>
        <w:gridCol w:w="3618"/>
        <w:gridCol w:w="1984"/>
        <w:gridCol w:w="1276"/>
      </w:tblGrid>
      <w:tr w:rsidR="00504C97">
        <w:trPr>
          <w:trHeight w:val="315"/>
        </w:trPr>
        <w:tc>
          <w:tcPr>
            <w:tcW w:w="2920" w:type="dxa"/>
            <w:tcBorders>
              <w:top w:val="none" w:sz="4" w:space="0" w:color="000000"/>
              <w:left w:val="none" w:sz="4" w:space="0" w:color="000000"/>
              <w:bottom w:val="none" w:sz="4" w:space="0" w:color="000000"/>
              <w:right w:val="none" w:sz="4" w:space="0" w:color="000000"/>
            </w:tcBorders>
            <w:shd w:val="clear" w:color="FFFFFF" w:fill="FFFFFF"/>
            <w:noWrap/>
            <w:vAlign w:val="center"/>
          </w:tcPr>
          <w:p w:rsidR="00504C97" w:rsidRDefault="00504C97">
            <w:pPr>
              <w:jc w:val="center"/>
              <w:rPr>
                <w:rFonts w:ascii="PT Astra Serif" w:hAnsi="PT Astra Serif" w:cs="PT Astra Serif"/>
              </w:rPr>
            </w:pPr>
          </w:p>
        </w:tc>
        <w:tc>
          <w:tcPr>
            <w:tcW w:w="3618" w:type="dxa"/>
            <w:tcBorders>
              <w:top w:val="none" w:sz="4" w:space="0" w:color="000000"/>
              <w:left w:val="none" w:sz="4" w:space="0" w:color="000000"/>
              <w:bottom w:val="none" w:sz="4" w:space="0" w:color="000000"/>
              <w:right w:val="none" w:sz="4" w:space="0" w:color="000000"/>
            </w:tcBorders>
            <w:shd w:val="clear" w:color="FFFFFF" w:fill="FFFFFF"/>
            <w:noWrap/>
            <w:vAlign w:val="center"/>
          </w:tcPr>
          <w:p w:rsidR="00504C97" w:rsidRDefault="00504C97">
            <w:pPr>
              <w:jc w:val="center"/>
              <w:rPr>
                <w:rFonts w:ascii="PT Astra Serif" w:hAnsi="PT Astra Serif" w:cs="PT Astra Serif"/>
              </w:rPr>
            </w:pPr>
          </w:p>
        </w:tc>
        <w:tc>
          <w:tcPr>
            <w:tcW w:w="1984" w:type="dxa"/>
            <w:tcBorders>
              <w:top w:val="none" w:sz="4" w:space="0" w:color="000000"/>
              <w:left w:val="none" w:sz="4" w:space="0" w:color="000000"/>
              <w:bottom w:val="none" w:sz="4" w:space="0" w:color="000000"/>
              <w:right w:val="single" w:sz="8" w:space="0" w:color="000000"/>
            </w:tcBorders>
            <w:shd w:val="clear" w:color="FFFFFF" w:fill="FFFFFF"/>
            <w:noWrap/>
            <w:vAlign w:val="center"/>
          </w:tcPr>
          <w:p w:rsidR="00504C97" w:rsidRDefault="00504C97">
            <w:pPr>
              <w:jc w:val="center"/>
              <w:rPr>
                <w:rFonts w:ascii="PT Astra Serif" w:hAnsi="PT Astra Serif" w:cs="PT Astra Serif"/>
              </w:rPr>
            </w:pPr>
          </w:p>
        </w:tc>
        <w:tc>
          <w:tcPr>
            <w:tcW w:w="1276" w:type="dxa"/>
            <w:tcBorders>
              <w:top w:val="single" w:sz="8" w:space="0" w:color="000000"/>
              <w:left w:val="single" w:sz="8" w:space="0" w:color="000000"/>
              <w:bottom w:val="single" w:sz="8" w:space="0" w:color="000000"/>
              <w:right w:val="single" w:sz="8" w:space="0" w:color="000000"/>
            </w:tcBorders>
            <w:shd w:val="clear" w:color="FFFFFF" w:fill="FFFFFF"/>
            <w:noWrap/>
            <w:vAlign w:val="center"/>
          </w:tcPr>
          <w:p w:rsidR="00504C97" w:rsidRDefault="004D36C1">
            <w:pPr>
              <w:jc w:val="center"/>
              <w:rPr>
                <w:rFonts w:ascii="PT Astra Serif" w:hAnsi="PT Astra Serif" w:cs="PT Astra Serif"/>
              </w:rPr>
            </w:pPr>
            <w:r>
              <w:rPr>
                <w:rFonts w:ascii="PT Astra Serif" w:hAnsi="PT Astra Serif" w:cs="PT Astra Serif"/>
                <w:szCs w:val="24"/>
              </w:rPr>
              <w:t>КОДЫ</w:t>
            </w:r>
          </w:p>
        </w:tc>
      </w:tr>
      <w:tr w:rsidR="00504C97">
        <w:trPr>
          <w:trHeight w:val="225"/>
        </w:trPr>
        <w:tc>
          <w:tcPr>
            <w:tcW w:w="2920"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504C97">
            <w:pPr>
              <w:rPr>
                <w:rFonts w:ascii="PT Astra Serif" w:hAnsi="PT Astra Serif" w:cs="PT Astra Serif"/>
              </w:rPr>
            </w:pPr>
          </w:p>
        </w:tc>
        <w:tc>
          <w:tcPr>
            <w:tcW w:w="3618"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504C97">
            <w:pPr>
              <w:rPr>
                <w:rFonts w:ascii="PT Astra Serif" w:hAnsi="PT Astra Serif" w:cs="PT Astra Serif"/>
              </w:rPr>
            </w:pPr>
          </w:p>
        </w:tc>
        <w:tc>
          <w:tcPr>
            <w:tcW w:w="1984"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4D36C1">
            <w:pPr>
              <w:jc w:val="right"/>
              <w:rPr>
                <w:rFonts w:ascii="PT Astra Serif" w:hAnsi="PT Astra Serif" w:cs="PT Astra Serif"/>
              </w:rPr>
            </w:pPr>
            <w:r>
              <w:rPr>
                <w:rFonts w:ascii="PT Astra Serif" w:hAnsi="PT Astra Serif" w:cs="PT Astra Serif"/>
                <w:szCs w:val="24"/>
              </w:rPr>
              <w:t>Форма по ОКУД</w:t>
            </w:r>
          </w:p>
        </w:tc>
        <w:tc>
          <w:tcPr>
            <w:tcW w:w="1276" w:type="dxa"/>
            <w:tcBorders>
              <w:top w:val="single" w:sz="8" w:space="0" w:color="000000"/>
              <w:left w:val="single" w:sz="8" w:space="0" w:color="000000"/>
              <w:bottom w:val="single" w:sz="8" w:space="0" w:color="000000"/>
              <w:right w:val="single" w:sz="8" w:space="0" w:color="000000"/>
            </w:tcBorders>
            <w:shd w:val="clear" w:color="FFFFFF" w:fill="FFFFFF"/>
            <w:noWrap/>
            <w:vAlign w:val="bottom"/>
          </w:tcPr>
          <w:p w:rsidR="00504C97" w:rsidRDefault="004D36C1">
            <w:pPr>
              <w:jc w:val="center"/>
              <w:rPr>
                <w:rFonts w:ascii="PT Astra Serif" w:hAnsi="PT Astra Serif" w:cs="PT Astra Serif"/>
              </w:rPr>
            </w:pPr>
            <w:r>
              <w:rPr>
                <w:rFonts w:ascii="PT Astra Serif" w:hAnsi="PT Astra Serif" w:cs="PT Astra Serif"/>
                <w:szCs w:val="24"/>
              </w:rPr>
              <w:t>0503</w:t>
            </w:r>
            <w:r>
              <w:rPr>
                <w:rFonts w:ascii="PT Astra Serif" w:hAnsi="PT Astra Serif" w:cs="PT Astra Serif"/>
                <w:szCs w:val="24"/>
                <w:lang w:val="en-US"/>
              </w:rPr>
              <w:t>1</w:t>
            </w:r>
            <w:r>
              <w:rPr>
                <w:rFonts w:ascii="PT Astra Serif" w:hAnsi="PT Astra Serif" w:cs="PT Astra Serif"/>
                <w:szCs w:val="24"/>
              </w:rPr>
              <w:t>60</w:t>
            </w:r>
          </w:p>
        </w:tc>
      </w:tr>
      <w:tr w:rsidR="00504C97">
        <w:trPr>
          <w:trHeight w:val="270"/>
        </w:trPr>
        <w:tc>
          <w:tcPr>
            <w:tcW w:w="2920"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504C97">
            <w:pPr>
              <w:rPr>
                <w:rFonts w:ascii="PT Astra Serif" w:hAnsi="PT Astra Serif" w:cs="PT Astra Serif"/>
              </w:rPr>
            </w:pPr>
          </w:p>
        </w:tc>
        <w:tc>
          <w:tcPr>
            <w:tcW w:w="3618"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504C97">
            <w:pPr>
              <w:rPr>
                <w:rFonts w:ascii="PT Astra Serif" w:hAnsi="PT Astra Serif" w:cs="PT Astra Serif"/>
              </w:rPr>
            </w:pPr>
          </w:p>
        </w:tc>
        <w:tc>
          <w:tcPr>
            <w:tcW w:w="1984"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4D36C1">
            <w:pPr>
              <w:jc w:val="right"/>
              <w:rPr>
                <w:rFonts w:ascii="PT Astra Serif" w:hAnsi="PT Astra Serif" w:cs="PT Astra Serif"/>
              </w:rPr>
            </w:pPr>
            <w:r>
              <w:rPr>
                <w:rFonts w:ascii="PT Astra Serif" w:hAnsi="PT Astra Serif" w:cs="PT Astra Serif"/>
                <w:szCs w:val="24"/>
              </w:rPr>
              <w:t>Дата</w:t>
            </w:r>
          </w:p>
        </w:tc>
        <w:tc>
          <w:tcPr>
            <w:tcW w:w="1276" w:type="dxa"/>
            <w:tcBorders>
              <w:top w:val="single" w:sz="8" w:space="0" w:color="000000"/>
              <w:left w:val="single" w:sz="8" w:space="0" w:color="000000"/>
              <w:bottom w:val="single" w:sz="8" w:space="0" w:color="000000"/>
              <w:right w:val="single" w:sz="8" w:space="0" w:color="000000"/>
            </w:tcBorders>
            <w:shd w:val="clear" w:color="FFFFFF" w:fill="FFFFFF"/>
            <w:noWrap/>
            <w:vAlign w:val="bottom"/>
          </w:tcPr>
          <w:p w:rsidR="00504C97" w:rsidRDefault="004D36C1">
            <w:pPr>
              <w:jc w:val="center"/>
              <w:rPr>
                <w:rFonts w:ascii="PT Astra Serif" w:hAnsi="PT Astra Serif" w:cs="PT Astra Serif"/>
              </w:rPr>
            </w:pPr>
            <w:r>
              <w:rPr>
                <w:rFonts w:ascii="PT Astra Serif" w:hAnsi="PT Astra Serif" w:cs="PT Astra Serif"/>
                <w:szCs w:val="24"/>
                <w:lang w:val="en-US"/>
              </w:rPr>
              <w:t>01</w:t>
            </w:r>
            <w:r>
              <w:rPr>
                <w:rFonts w:ascii="PT Astra Serif" w:hAnsi="PT Astra Serif" w:cs="PT Astra Serif"/>
                <w:szCs w:val="24"/>
              </w:rPr>
              <w:t>.0</w:t>
            </w:r>
            <w:r>
              <w:rPr>
                <w:rFonts w:ascii="PT Astra Serif" w:hAnsi="PT Astra Serif" w:cs="PT Astra Serif"/>
                <w:szCs w:val="24"/>
                <w:lang w:val="en-US"/>
              </w:rPr>
              <w:t>1</w:t>
            </w:r>
            <w:r>
              <w:rPr>
                <w:rFonts w:ascii="PT Astra Serif" w:hAnsi="PT Astra Serif" w:cs="PT Astra Serif"/>
                <w:szCs w:val="24"/>
              </w:rPr>
              <w:t>.20</w:t>
            </w:r>
            <w:r>
              <w:rPr>
                <w:rFonts w:ascii="PT Astra Serif" w:hAnsi="PT Astra Serif" w:cs="PT Astra Serif"/>
                <w:szCs w:val="24"/>
                <w:lang w:val="en-US"/>
              </w:rPr>
              <w:t>2</w:t>
            </w:r>
            <w:r>
              <w:rPr>
                <w:rFonts w:ascii="PT Astra Serif" w:hAnsi="PT Astra Serif" w:cs="PT Astra Serif"/>
              </w:rPr>
              <w:t>6</w:t>
            </w:r>
          </w:p>
        </w:tc>
      </w:tr>
      <w:tr w:rsidR="00504C97">
        <w:trPr>
          <w:trHeight w:val="375"/>
        </w:trPr>
        <w:tc>
          <w:tcPr>
            <w:tcW w:w="2920"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504C97">
            <w:pPr>
              <w:rPr>
                <w:rFonts w:ascii="PT Astra Serif" w:hAnsi="PT Astra Serif" w:cs="PT Astra Serif"/>
              </w:rPr>
            </w:pPr>
          </w:p>
        </w:tc>
        <w:tc>
          <w:tcPr>
            <w:tcW w:w="3618" w:type="dxa"/>
            <w:tcBorders>
              <w:top w:val="none" w:sz="4" w:space="0" w:color="000000"/>
              <w:left w:val="none" w:sz="4" w:space="0" w:color="000000"/>
              <w:right w:val="none" w:sz="4" w:space="0" w:color="000000"/>
            </w:tcBorders>
            <w:shd w:val="clear" w:color="FFFFFF" w:fill="FFFFFF"/>
            <w:noWrap/>
            <w:vAlign w:val="bottom"/>
          </w:tcPr>
          <w:p w:rsidR="00504C97" w:rsidRDefault="00504C97">
            <w:pPr>
              <w:rPr>
                <w:rFonts w:ascii="PT Astra Serif" w:hAnsi="PT Astra Serif" w:cs="PT Astra Serif"/>
              </w:rPr>
            </w:pPr>
          </w:p>
        </w:tc>
        <w:tc>
          <w:tcPr>
            <w:tcW w:w="1984"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4D36C1">
            <w:pPr>
              <w:jc w:val="right"/>
              <w:rPr>
                <w:rFonts w:ascii="PT Astra Serif" w:hAnsi="PT Astra Serif" w:cs="PT Astra Serif"/>
              </w:rPr>
            </w:pPr>
            <w:r>
              <w:rPr>
                <w:rFonts w:ascii="PT Astra Serif" w:hAnsi="PT Astra Serif" w:cs="PT Astra Serif"/>
                <w:szCs w:val="24"/>
              </w:rPr>
              <w:t>по ОКПО</w:t>
            </w:r>
          </w:p>
        </w:tc>
        <w:tc>
          <w:tcPr>
            <w:tcW w:w="1276" w:type="dxa"/>
            <w:tcBorders>
              <w:top w:val="single" w:sz="8" w:space="0" w:color="000000"/>
              <w:left w:val="single" w:sz="8" w:space="0" w:color="000000"/>
              <w:bottom w:val="single" w:sz="8" w:space="0" w:color="000000"/>
              <w:right w:val="single" w:sz="8" w:space="0" w:color="000000"/>
            </w:tcBorders>
            <w:shd w:val="clear" w:color="FFFFFF" w:fill="FFFFFF"/>
            <w:noWrap/>
            <w:vAlign w:val="bottom"/>
          </w:tcPr>
          <w:p w:rsidR="00504C97" w:rsidRDefault="00504C97">
            <w:pPr>
              <w:jc w:val="center"/>
              <w:rPr>
                <w:rFonts w:ascii="PT Astra Serif" w:hAnsi="PT Astra Serif" w:cs="PT Astra Serif"/>
              </w:rPr>
            </w:pPr>
          </w:p>
        </w:tc>
      </w:tr>
      <w:tr w:rsidR="00504C97">
        <w:trPr>
          <w:trHeight w:val="225"/>
        </w:trPr>
        <w:tc>
          <w:tcPr>
            <w:tcW w:w="2920" w:type="dxa"/>
            <w:tcBorders>
              <w:top w:val="none" w:sz="4" w:space="0" w:color="000000"/>
              <w:left w:val="none" w:sz="4" w:space="0" w:color="000000"/>
              <w:right w:val="none" w:sz="4" w:space="0" w:color="000000"/>
            </w:tcBorders>
            <w:shd w:val="clear" w:color="FFFFFF" w:fill="FFFFFF"/>
            <w:noWrap/>
            <w:vAlign w:val="bottom"/>
          </w:tcPr>
          <w:p w:rsidR="00504C97" w:rsidRDefault="004D36C1">
            <w:pPr>
              <w:rPr>
                <w:rFonts w:ascii="PT Astra Serif" w:hAnsi="PT Astra Serif" w:cs="PT Astra Serif"/>
              </w:rPr>
            </w:pPr>
            <w:r>
              <w:rPr>
                <w:rFonts w:ascii="PT Astra Serif" w:hAnsi="PT Astra Serif" w:cs="PT Astra Serif"/>
                <w:szCs w:val="28"/>
              </w:rPr>
              <w:t>Наименование финансового органа</w:t>
            </w:r>
          </w:p>
        </w:tc>
        <w:tc>
          <w:tcPr>
            <w:tcW w:w="3618" w:type="dxa"/>
            <w:tcBorders>
              <w:top w:val="none" w:sz="4" w:space="0" w:color="000000"/>
              <w:left w:val="none" w:sz="4" w:space="0" w:color="000000"/>
              <w:right w:val="none" w:sz="4" w:space="0" w:color="000000"/>
            </w:tcBorders>
            <w:shd w:val="clear" w:color="FFFFFF" w:fill="FFFFFF"/>
            <w:noWrap/>
            <w:vAlign w:val="bottom"/>
          </w:tcPr>
          <w:p w:rsidR="00504C97" w:rsidRDefault="004D36C1">
            <w:pPr>
              <w:jc w:val="center"/>
              <w:rPr>
                <w:rFonts w:ascii="PT Astra Serif" w:hAnsi="PT Astra Serif" w:cs="PT Astra Serif"/>
              </w:rPr>
            </w:pPr>
            <w:r>
              <w:rPr>
                <w:rFonts w:ascii="PT Astra Serif" w:hAnsi="PT Astra Serif" w:cs="PT Astra Serif"/>
                <w:szCs w:val="28"/>
              </w:rPr>
              <w:t xml:space="preserve">Министерство финансов </w:t>
            </w:r>
            <w:r>
              <w:rPr>
                <w:rFonts w:ascii="PT Astra Serif" w:hAnsi="PT Astra Serif" w:cs="PT Astra Serif"/>
                <w:szCs w:val="28"/>
                <w:lang w:val="en-US"/>
              </w:rPr>
              <w:t xml:space="preserve">       </w:t>
            </w:r>
            <w:r>
              <w:rPr>
                <w:rFonts w:ascii="PT Astra Serif" w:hAnsi="PT Astra Serif" w:cs="PT Astra Serif"/>
                <w:szCs w:val="28"/>
              </w:rPr>
              <w:t>Саратовской области</w:t>
            </w:r>
          </w:p>
        </w:tc>
        <w:tc>
          <w:tcPr>
            <w:tcW w:w="1984"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4D36C1">
            <w:pPr>
              <w:jc w:val="right"/>
              <w:rPr>
                <w:rFonts w:ascii="PT Astra Serif" w:hAnsi="PT Astra Serif" w:cs="PT Astra Serif"/>
              </w:rPr>
            </w:pPr>
            <w:r>
              <w:rPr>
                <w:rFonts w:ascii="PT Astra Serif" w:hAnsi="PT Astra Serif" w:cs="PT Astra Serif"/>
                <w:szCs w:val="24"/>
              </w:rPr>
              <w:t>Глава по БК</w:t>
            </w:r>
          </w:p>
        </w:tc>
        <w:tc>
          <w:tcPr>
            <w:tcW w:w="1276" w:type="dxa"/>
            <w:tcBorders>
              <w:top w:val="single" w:sz="8" w:space="0" w:color="000000"/>
              <w:left w:val="single" w:sz="8" w:space="0" w:color="000000"/>
              <w:bottom w:val="single" w:sz="8" w:space="0" w:color="000000"/>
              <w:right w:val="single" w:sz="8" w:space="0" w:color="000000"/>
            </w:tcBorders>
            <w:shd w:val="clear" w:color="FFFFFF" w:fill="FFFFFF"/>
            <w:noWrap/>
            <w:vAlign w:val="bottom"/>
          </w:tcPr>
          <w:p w:rsidR="00504C97" w:rsidRDefault="004D36C1">
            <w:pPr>
              <w:jc w:val="center"/>
              <w:rPr>
                <w:rFonts w:ascii="PT Astra Serif" w:hAnsi="PT Astra Serif" w:cs="PT Astra Serif"/>
              </w:rPr>
            </w:pPr>
            <w:r>
              <w:rPr>
                <w:rFonts w:ascii="PT Astra Serif" w:hAnsi="PT Astra Serif" w:cs="PT Astra Serif"/>
                <w:szCs w:val="24"/>
              </w:rPr>
              <w:t>060</w:t>
            </w:r>
          </w:p>
        </w:tc>
      </w:tr>
      <w:tr w:rsidR="00504C97">
        <w:trPr>
          <w:trHeight w:val="300"/>
        </w:trPr>
        <w:tc>
          <w:tcPr>
            <w:tcW w:w="2920" w:type="dxa"/>
            <w:tcBorders>
              <w:top w:val="none" w:sz="4" w:space="0" w:color="000000"/>
              <w:left w:val="none" w:sz="4" w:space="0" w:color="000000"/>
              <w:right w:val="none" w:sz="4" w:space="0" w:color="000000"/>
            </w:tcBorders>
            <w:shd w:val="clear" w:color="FFFFFF" w:fill="FFFFFF"/>
            <w:noWrap/>
            <w:vAlign w:val="bottom"/>
          </w:tcPr>
          <w:p w:rsidR="00504C97" w:rsidRDefault="004D36C1">
            <w:pPr>
              <w:rPr>
                <w:rFonts w:ascii="PT Astra Serif" w:hAnsi="PT Astra Serif" w:cs="PT Astra Serif"/>
              </w:rPr>
            </w:pPr>
            <w:r>
              <w:rPr>
                <w:rFonts w:ascii="PT Astra Serif" w:hAnsi="PT Astra Serif" w:cs="PT Astra Serif"/>
                <w:szCs w:val="28"/>
              </w:rPr>
              <w:t>Наименование бюджета</w:t>
            </w:r>
          </w:p>
        </w:tc>
        <w:tc>
          <w:tcPr>
            <w:tcW w:w="3618" w:type="dxa"/>
            <w:tcBorders>
              <w:left w:val="none" w:sz="4" w:space="0" w:color="000000"/>
              <w:right w:val="none" w:sz="4" w:space="0" w:color="000000"/>
            </w:tcBorders>
            <w:shd w:val="clear" w:color="FFFFFF" w:fill="FFFFFF"/>
            <w:noWrap/>
            <w:vAlign w:val="bottom"/>
          </w:tcPr>
          <w:p w:rsidR="00504C97" w:rsidRDefault="004D36C1">
            <w:pPr>
              <w:jc w:val="center"/>
            </w:pPr>
            <w:r>
              <w:rPr>
                <w:rFonts w:ascii="PT Astra Serif" w:hAnsi="PT Astra Serif" w:cs="PT Astra Serif"/>
                <w:szCs w:val="28"/>
              </w:rPr>
              <w:t>областной</w:t>
            </w:r>
          </w:p>
          <w:p w:rsidR="00504C97" w:rsidRDefault="004D36C1">
            <w:pPr>
              <w:jc w:val="center"/>
              <w:rPr>
                <w:rFonts w:ascii="PT Astra Serif" w:hAnsi="PT Astra Serif" w:cs="PT Astra Serif"/>
              </w:rPr>
            </w:pPr>
            <w:r>
              <w:rPr>
                <w:rFonts w:ascii="PT Astra Serif" w:hAnsi="PT Astra Serif" w:cs="PT Astra Serif"/>
                <w:szCs w:val="28"/>
              </w:rPr>
              <w:t>бюджет</w:t>
            </w:r>
          </w:p>
        </w:tc>
        <w:tc>
          <w:tcPr>
            <w:tcW w:w="1984"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4D36C1">
            <w:pPr>
              <w:jc w:val="right"/>
              <w:rPr>
                <w:rFonts w:ascii="PT Astra Serif" w:hAnsi="PT Astra Serif" w:cs="PT Astra Serif"/>
              </w:rPr>
            </w:pPr>
            <w:r>
              <w:rPr>
                <w:rFonts w:ascii="PT Astra Serif" w:hAnsi="PT Astra Serif" w:cs="PT Astra Serif"/>
                <w:szCs w:val="24"/>
              </w:rPr>
              <w:t>по ОКТМО</w:t>
            </w:r>
          </w:p>
        </w:tc>
        <w:tc>
          <w:tcPr>
            <w:tcW w:w="1276" w:type="dxa"/>
            <w:tcBorders>
              <w:top w:val="single" w:sz="8" w:space="0" w:color="000000"/>
              <w:left w:val="single" w:sz="8" w:space="0" w:color="000000"/>
              <w:bottom w:val="single" w:sz="8" w:space="0" w:color="000000"/>
              <w:right w:val="single" w:sz="8" w:space="0" w:color="000000"/>
            </w:tcBorders>
            <w:shd w:val="clear" w:color="FFFFFF" w:fill="FFFFFF"/>
            <w:noWrap/>
            <w:vAlign w:val="bottom"/>
          </w:tcPr>
          <w:p w:rsidR="00504C97" w:rsidRDefault="004D36C1">
            <w:pPr>
              <w:jc w:val="center"/>
              <w:rPr>
                <w:rFonts w:ascii="PT Astra Serif" w:hAnsi="PT Astra Serif" w:cs="PT Astra Serif"/>
              </w:rPr>
            </w:pPr>
            <w:r>
              <w:rPr>
                <w:rFonts w:ascii="PT Astra Serif" w:hAnsi="PT Astra Serif" w:cs="PT Astra Serif"/>
                <w:szCs w:val="24"/>
              </w:rPr>
              <w:t>63701000</w:t>
            </w:r>
          </w:p>
        </w:tc>
      </w:tr>
      <w:tr w:rsidR="00504C97">
        <w:trPr>
          <w:trHeight w:val="300"/>
        </w:trPr>
        <w:tc>
          <w:tcPr>
            <w:tcW w:w="6538" w:type="dxa"/>
            <w:gridSpan w:val="2"/>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4D36C1">
            <w:pPr>
              <w:rPr>
                <w:rFonts w:ascii="PT Astra Serif" w:hAnsi="PT Astra Serif" w:cs="PT Astra Serif"/>
              </w:rPr>
            </w:pPr>
            <w:r>
              <w:rPr>
                <w:rFonts w:ascii="PT Astra Serif" w:hAnsi="PT Astra Serif" w:cs="PT Astra Serif"/>
                <w:szCs w:val="28"/>
              </w:rPr>
              <w:t>Периодичность: годовая</w:t>
            </w:r>
          </w:p>
        </w:tc>
        <w:tc>
          <w:tcPr>
            <w:tcW w:w="1984" w:type="dxa"/>
            <w:tcBorders>
              <w:top w:val="none" w:sz="4" w:space="0" w:color="000000"/>
              <w:left w:val="none" w:sz="4" w:space="0" w:color="000000"/>
              <w:bottom w:val="none" w:sz="4" w:space="0" w:color="000000"/>
              <w:right w:val="none" w:sz="4" w:space="0" w:color="000000"/>
            </w:tcBorders>
            <w:shd w:val="clear" w:color="FFFFFF" w:fill="FFFFFF"/>
            <w:noWrap/>
            <w:vAlign w:val="bottom"/>
          </w:tcPr>
          <w:p w:rsidR="00504C97" w:rsidRDefault="00504C97">
            <w:pPr>
              <w:rPr>
                <w:rFonts w:ascii="PT Astra Serif" w:hAnsi="PT Astra Serif" w:cs="PT Astra Serif"/>
              </w:rPr>
            </w:pPr>
          </w:p>
        </w:tc>
        <w:tc>
          <w:tcPr>
            <w:tcW w:w="1276" w:type="dxa"/>
            <w:tcBorders>
              <w:top w:val="single" w:sz="8" w:space="0" w:color="000000"/>
              <w:left w:val="single" w:sz="8" w:space="0" w:color="000000"/>
              <w:bottom w:val="single" w:sz="8" w:space="0" w:color="000000"/>
              <w:right w:val="single" w:sz="8" w:space="0" w:color="000000"/>
            </w:tcBorders>
            <w:shd w:val="clear" w:color="FFFFFF" w:fill="FFFFFF"/>
            <w:noWrap/>
            <w:vAlign w:val="bottom"/>
          </w:tcPr>
          <w:p w:rsidR="00504C97" w:rsidRDefault="00504C97">
            <w:pPr>
              <w:jc w:val="center"/>
              <w:rPr>
                <w:rFonts w:ascii="PT Astra Serif" w:hAnsi="PT Astra Serif" w:cs="PT Astra Serif"/>
              </w:rPr>
            </w:pPr>
          </w:p>
        </w:tc>
      </w:tr>
      <w:tr w:rsidR="00504C97">
        <w:trPr>
          <w:trHeight w:val="300"/>
        </w:trPr>
        <w:tc>
          <w:tcPr>
            <w:tcW w:w="6538" w:type="dxa"/>
            <w:gridSpan w:val="2"/>
            <w:tcBorders>
              <w:top w:val="none" w:sz="4" w:space="0" w:color="000000"/>
              <w:left w:val="none" w:sz="4" w:space="0" w:color="000000"/>
              <w:bottom w:val="none" w:sz="4" w:space="0" w:color="000000"/>
              <w:right w:val="none" w:sz="4" w:space="0" w:color="000000"/>
            </w:tcBorders>
            <w:shd w:val="clear" w:color="FFFFFF" w:fill="FFFFFF"/>
            <w:noWrap/>
            <w:vAlign w:val="center"/>
          </w:tcPr>
          <w:p w:rsidR="00504C97" w:rsidRDefault="004D36C1">
            <w:pPr>
              <w:rPr>
                <w:rFonts w:ascii="PT Astra Serif" w:hAnsi="PT Astra Serif" w:cs="PT Astra Serif"/>
              </w:rPr>
            </w:pPr>
            <w:r>
              <w:rPr>
                <w:rFonts w:ascii="PT Astra Serif" w:hAnsi="PT Astra Serif" w:cs="PT Astra Serif"/>
                <w:szCs w:val="28"/>
              </w:rPr>
              <w:t>Единица измерения: руб.</w:t>
            </w:r>
          </w:p>
        </w:tc>
        <w:tc>
          <w:tcPr>
            <w:tcW w:w="1984" w:type="dxa"/>
            <w:tcBorders>
              <w:top w:val="none" w:sz="4" w:space="0" w:color="000000"/>
              <w:left w:val="none" w:sz="4" w:space="0" w:color="000000"/>
              <w:bottom w:val="none" w:sz="4" w:space="0" w:color="000000"/>
              <w:right w:val="none" w:sz="4" w:space="0" w:color="000000"/>
            </w:tcBorders>
            <w:shd w:val="clear" w:color="FFFFFF" w:fill="FFFFFF"/>
            <w:noWrap/>
            <w:vAlign w:val="center"/>
          </w:tcPr>
          <w:p w:rsidR="00504C97" w:rsidRDefault="004D36C1">
            <w:pPr>
              <w:jc w:val="right"/>
              <w:rPr>
                <w:rFonts w:ascii="PT Astra Serif" w:hAnsi="PT Astra Serif" w:cs="PT Astra Serif"/>
              </w:rPr>
            </w:pPr>
            <w:r>
              <w:rPr>
                <w:rFonts w:ascii="PT Astra Serif" w:hAnsi="PT Astra Serif" w:cs="PT Astra Serif"/>
                <w:szCs w:val="24"/>
              </w:rPr>
              <w:t>по ОКЕИ</w:t>
            </w:r>
          </w:p>
        </w:tc>
        <w:tc>
          <w:tcPr>
            <w:tcW w:w="1276" w:type="dxa"/>
            <w:tcBorders>
              <w:top w:val="single" w:sz="8" w:space="0" w:color="000000"/>
              <w:left w:val="single" w:sz="8" w:space="0" w:color="000000"/>
              <w:bottom w:val="single" w:sz="8" w:space="0" w:color="000000"/>
              <w:right w:val="single" w:sz="8" w:space="0" w:color="000000"/>
            </w:tcBorders>
            <w:shd w:val="clear" w:color="FFFFFF" w:fill="FFFFFF"/>
            <w:noWrap/>
            <w:vAlign w:val="center"/>
          </w:tcPr>
          <w:p w:rsidR="00504C97" w:rsidRDefault="004D36C1">
            <w:pPr>
              <w:jc w:val="center"/>
              <w:rPr>
                <w:rFonts w:ascii="PT Astra Serif" w:hAnsi="PT Astra Serif" w:cs="PT Astra Serif"/>
              </w:rPr>
            </w:pPr>
            <w:r>
              <w:rPr>
                <w:rFonts w:ascii="PT Astra Serif" w:hAnsi="PT Astra Serif" w:cs="PT Astra Serif"/>
                <w:szCs w:val="24"/>
              </w:rPr>
              <w:t>383</w:t>
            </w:r>
          </w:p>
        </w:tc>
      </w:tr>
    </w:tbl>
    <w:p w:rsidR="00504C97" w:rsidRDefault="00504C97">
      <w:pPr>
        <w:jc w:val="center"/>
        <w:rPr>
          <w:rFonts w:ascii="PT Astra Serif" w:hAnsi="PT Astra Serif" w:cs="PT Astra Serif"/>
        </w:rPr>
      </w:pPr>
    </w:p>
    <w:p w:rsidR="00504C97" w:rsidRDefault="00504C97">
      <w:pPr>
        <w:jc w:val="center"/>
        <w:rPr>
          <w:color w:val="000000"/>
        </w:rPr>
      </w:pPr>
    </w:p>
    <w:p w:rsidR="00504C97" w:rsidRDefault="00504C97">
      <w:pPr>
        <w:spacing w:line="245" w:lineRule="auto"/>
        <w:jc w:val="center"/>
        <w:rPr>
          <w:rFonts w:ascii="PT Astra Serif" w:eastAsia="PT Astra Serif" w:hAnsi="PT Astra Serif" w:cs="PT Astra Serif"/>
          <w:b/>
          <w:color w:val="000000"/>
          <w:sz w:val="28"/>
          <w:szCs w:val="28"/>
          <w:shd w:val="clear" w:color="auto" w:fill="FFFFFF"/>
        </w:rPr>
      </w:pPr>
    </w:p>
    <w:p w:rsidR="00504C97" w:rsidRDefault="004D36C1" w:rsidP="00177CED">
      <w:pPr>
        <w:spacing w:line="266" w:lineRule="auto"/>
        <w:jc w:val="center"/>
        <w:rPr>
          <w:rFonts w:ascii="PT Astra Serif" w:eastAsia="PT Astra Serif" w:hAnsi="PT Astra Serif" w:cs="PT Astra Serif"/>
          <w:b/>
          <w:bCs/>
          <w:color w:val="000000"/>
          <w:sz w:val="28"/>
          <w:szCs w:val="28"/>
        </w:rPr>
      </w:pPr>
      <w:r>
        <w:rPr>
          <w:rFonts w:ascii="PT Astra Serif" w:eastAsia="PT Astra Serif" w:hAnsi="PT Astra Serif" w:cs="PT Astra Serif"/>
          <w:b/>
          <w:color w:val="000000"/>
          <w:sz w:val="28"/>
          <w:szCs w:val="28"/>
          <w:shd w:val="clear" w:color="auto" w:fill="FFFFFF"/>
        </w:rPr>
        <w:t xml:space="preserve">Раздел 1 </w:t>
      </w:r>
    </w:p>
    <w:p w:rsidR="00504C97" w:rsidRDefault="004D36C1" w:rsidP="00177CED">
      <w:pPr>
        <w:spacing w:line="266" w:lineRule="auto"/>
        <w:jc w:val="center"/>
        <w:rPr>
          <w:color w:val="000000"/>
        </w:rPr>
      </w:pPr>
      <w:r>
        <w:rPr>
          <w:rFonts w:ascii="PT Astra Serif" w:eastAsia="PT Astra Serif" w:hAnsi="PT Astra Serif" w:cs="PT Astra Serif"/>
          <w:b/>
          <w:color w:val="000000"/>
          <w:sz w:val="28"/>
          <w:szCs w:val="28"/>
          <w:shd w:val="clear" w:color="auto" w:fill="FFFFFF"/>
        </w:rPr>
        <w:t>«Организационная структура субъекта бюджетной отчетности»</w:t>
      </w:r>
    </w:p>
    <w:p w:rsidR="00504C97" w:rsidRDefault="00504C97" w:rsidP="00177CED">
      <w:pPr>
        <w:spacing w:line="266" w:lineRule="auto"/>
        <w:ind w:firstLine="700"/>
        <w:jc w:val="both"/>
        <w:rPr>
          <w:color w:val="000000"/>
        </w:rPr>
      </w:pP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В соответствии с бюджетным законодательством Саратовской области министерство финансов Саратовской области является уполномоченным органом по составлению годовой бюджетной отчетности об исполнении областного бюджета Саратовской области.</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Годовая бюджетная отчетность за 2025 год составлена на основании соответствующей бюджетной отчетности 44 главных распорядителей средств областного бюджета, а также бюджетной отчетности по операциям администрирования поступлений в бюджет главных администраторов, администраторов доходов областного бюджета.</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 xml:space="preserve">По состоянию на 1 января 2025 года на территории области функционировало 43 главных распорядителя средств областного бюджета и 505 областных государственных учреждений. </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В течение 2025 года</w:t>
      </w:r>
      <w:r>
        <w:rPr>
          <w:rFonts w:ascii="PT Astra Serif" w:eastAsia="PT Astra Serif" w:hAnsi="PT Astra Serif" w:cs="PT Astra Serif"/>
          <w:color w:val="000000"/>
          <w:sz w:val="28"/>
          <w:szCs w:val="28"/>
        </w:rPr>
        <w:t xml:space="preserve"> за счет проводимых мер по оптимизации сети учреждений бюджетной сферы общее число государственных областных казенных, бюджетных и автономных учреждений уменьшилось</w:t>
      </w:r>
      <w:r>
        <w:rPr>
          <w:rFonts w:ascii="PT Astra Serif" w:eastAsia="PT Astra Serif" w:hAnsi="PT Astra Serif" w:cs="PT Astra Serif"/>
          <w:color w:val="000000"/>
          <w:sz w:val="28"/>
          <w:szCs w:val="28"/>
          <w:shd w:val="clear" w:color="auto" w:fill="FFFFFF"/>
        </w:rPr>
        <w:t xml:space="preserve"> на 6 единиц.</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Мероприятия по созданию, реорганизации, ликвидации областных государственных учреждений, совершенствование их правового положения проводились у следующих администраторов:</w:t>
      </w:r>
    </w:p>
    <w:p w:rsidR="00504C97" w:rsidRDefault="004D36C1" w:rsidP="00177CED">
      <w:pPr>
        <w:spacing w:line="266" w:lineRule="auto"/>
        <w:ind w:firstLine="720"/>
        <w:jc w:val="both"/>
        <w:rPr>
          <w:color w:val="000000"/>
        </w:rPr>
      </w:pPr>
      <w:r>
        <w:rPr>
          <w:rFonts w:ascii="PT Astra Serif" w:eastAsia="PT Astra Serif" w:hAnsi="PT Astra Serif" w:cs="PT Astra Serif"/>
          <w:b/>
          <w:color w:val="000000"/>
          <w:sz w:val="28"/>
          <w:szCs w:val="28"/>
          <w:shd w:val="clear" w:color="auto" w:fill="FFFFFF"/>
        </w:rPr>
        <w:t>016</w:t>
      </w:r>
      <w:r>
        <w:rPr>
          <w:rFonts w:ascii="Calibri" w:eastAsia="Calibri" w:hAnsi="Calibri" w:cs="Calibri"/>
          <w:b/>
          <w:color w:val="000000"/>
          <w:sz w:val="28"/>
          <w:szCs w:val="28"/>
          <w:shd w:val="clear" w:color="auto" w:fill="FFFFFF"/>
        </w:rPr>
        <w:t xml:space="preserve"> </w:t>
      </w:r>
      <w:r>
        <w:rPr>
          <w:rFonts w:ascii="PT Astra Serif" w:eastAsia="PT Astra Serif" w:hAnsi="PT Astra Serif" w:cs="PT Astra Serif"/>
          <w:b/>
          <w:color w:val="000000"/>
          <w:sz w:val="28"/>
          <w:szCs w:val="28"/>
          <w:shd w:val="clear" w:color="auto" w:fill="FFFFFF"/>
        </w:rPr>
        <w:t>Министерство природных ресурсов и экологии Саратовской области</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Уменьшилось на 1 - количество государственных унитарных предприятий и увеличилось на 1 - количество казенных учреждений на основании распоряжения Правительства Саратовской о</w:t>
      </w:r>
      <w:r w:rsidR="00177CED">
        <w:rPr>
          <w:rFonts w:ascii="PT Astra Serif" w:eastAsia="PT Astra Serif" w:hAnsi="PT Astra Serif" w:cs="PT Astra Serif"/>
          <w:color w:val="000000"/>
          <w:sz w:val="28"/>
          <w:szCs w:val="28"/>
          <w:shd w:val="clear" w:color="auto" w:fill="FFFFFF"/>
        </w:rPr>
        <w:t xml:space="preserve">бласти от 20 сентября 2024 года </w:t>
      </w:r>
      <w:r>
        <w:rPr>
          <w:rFonts w:ascii="PT Astra Serif" w:eastAsia="PT Astra Serif" w:hAnsi="PT Astra Serif" w:cs="PT Astra Serif"/>
          <w:color w:val="000000"/>
          <w:sz w:val="28"/>
          <w:szCs w:val="28"/>
          <w:shd w:val="clear" w:color="auto" w:fill="FFFFFF"/>
        </w:rPr>
        <w:t xml:space="preserve">№ 272-Пр «О реорганизации государственного унитарного </w:t>
      </w:r>
      <w:r>
        <w:rPr>
          <w:rFonts w:ascii="PT Astra Serif" w:eastAsia="PT Astra Serif" w:hAnsi="PT Astra Serif" w:cs="PT Astra Serif"/>
          <w:color w:val="000000"/>
          <w:sz w:val="28"/>
          <w:szCs w:val="28"/>
          <w:shd w:val="clear" w:color="auto" w:fill="FFFFFF"/>
        </w:rPr>
        <w:lastRenderedPageBreak/>
        <w:t>предприятия Саратовской области «Концессия» (государственное унитарное предприятие Саратовской области «Концессия» реорганизовано путем преобразования его в государственное казенное учреждение Саратовской области «Природоохранный центр» ИНН 6450119141 ОГРН 1256400000196, ГРН и дата внесения записи в ЕГРЮЛ 22256400117940 15.01.2025 г.).</w:t>
      </w:r>
    </w:p>
    <w:p w:rsidR="00504C97" w:rsidRDefault="004D36C1" w:rsidP="00177CED">
      <w:pPr>
        <w:spacing w:line="266" w:lineRule="auto"/>
        <w:ind w:firstLine="720"/>
        <w:jc w:val="both"/>
        <w:rPr>
          <w:color w:val="000000"/>
        </w:rPr>
      </w:pPr>
      <w:r>
        <w:rPr>
          <w:rFonts w:ascii="PT Astra Serif" w:eastAsia="PT Astra Serif" w:hAnsi="PT Astra Serif" w:cs="PT Astra Serif"/>
          <w:b/>
          <w:color w:val="000000"/>
          <w:sz w:val="28"/>
          <w:szCs w:val="28"/>
          <w:shd w:val="clear" w:color="auto" w:fill="FFFFFF"/>
        </w:rPr>
        <w:t>018</w:t>
      </w:r>
      <w:r>
        <w:rPr>
          <w:rFonts w:ascii="Calibri" w:eastAsia="Calibri" w:hAnsi="Calibri" w:cs="Calibri"/>
          <w:color w:val="000000"/>
          <w:sz w:val="28"/>
          <w:szCs w:val="28"/>
          <w:shd w:val="clear" w:color="auto" w:fill="FFFFFF"/>
        </w:rPr>
        <w:t xml:space="preserve"> </w:t>
      </w:r>
      <w:r>
        <w:rPr>
          <w:rFonts w:ascii="PT Astra Serif" w:eastAsia="PT Astra Serif" w:hAnsi="PT Astra Serif" w:cs="PT Astra Serif"/>
          <w:b/>
          <w:color w:val="000000"/>
          <w:sz w:val="28"/>
          <w:szCs w:val="28"/>
          <w:shd w:val="clear" w:color="auto" w:fill="FFFFFF"/>
        </w:rPr>
        <w:t>Министерство образования Саратовской области</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Уменьшилось на 1 - количество автономных учреждений на основании распоряжения Правительства Саратовской области от 19 июля 2024 года</w:t>
      </w:r>
      <w:r>
        <w:rPr>
          <w:rFonts w:ascii="PT Astra Serif" w:eastAsia="PT Astra Serif" w:hAnsi="PT Astra Serif" w:cs="PT Astra Serif"/>
          <w:color w:val="000000"/>
          <w:sz w:val="28"/>
          <w:szCs w:val="28"/>
          <w:shd w:val="clear" w:color="auto" w:fill="FFFFFF"/>
        </w:rPr>
        <w:br/>
        <w:t>№ 205-Пр «О реорганизации государственных образовательных организаций Саратовской области» (прекращение государственного автономного профессионального образовательного учреждения Саратовской области «</w:t>
      </w:r>
      <w:proofErr w:type="spellStart"/>
      <w:r>
        <w:rPr>
          <w:rFonts w:ascii="PT Astra Serif" w:eastAsia="PT Astra Serif" w:hAnsi="PT Astra Serif" w:cs="PT Astra Serif"/>
          <w:color w:val="000000"/>
          <w:sz w:val="28"/>
          <w:szCs w:val="28"/>
          <w:shd w:val="clear" w:color="auto" w:fill="FFFFFF"/>
        </w:rPr>
        <w:t>Хвалынский</w:t>
      </w:r>
      <w:proofErr w:type="spellEnd"/>
      <w:r>
        <w:rPr>
          <w:rFonts w:ascii="PT Astra Serif" w:eastAsia="PT Astra Serif" w:hAnsi="PT Astra Serif" w:cs="PT Astra Serif"/>
          <w:color w:val="000000"/>
          <w:sz w:val="28"/>
          <w:szCs w:val="28"/>
          <w:shd w:val="clear" w:color="auto" w:fill="FFFFFF"/>
        </w:rPr>
        <w:t xml:space="preserve"> агропромышленный колледж» путем реорганизации в форме присоединения к автономному общеобразовательному учреждению Саратовской области «Лицей-интернат 64», ГРН и дата внесения записи в ЕГРЮЛ: 2256400121932 17.01.2025 г.)</w:t>
      </w:r>
      <w:r>
        <w:rPr>
          <w:rFonts w:ascii="PT Astra Serif" w:eastAsia="PT Astra Serif" w:hAnsi="PT Astra Serif" w:cs="PT Astra Serif"/>
          <w:color w:val="000000"/>
          <w:sz w:val="28"/>
          <w:szCs w:val="28"/>
        </w:rPr>
        <w:t>;</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Увеличилось на 1 - количество автономных учреждений в связи с изменением ведомственной принадлежности государственного автономного учреждения культуры Саратовской области «Исторический парк «Моя история» на основании распоряжения Правительства Саратовской области от 21 ноября 2024 года № 332-Пр «Об изменении ведомственной принадлежности государственного автономного учреждения культуры Саратовской области» (функции и полномочия учредителя получены от министерства культуры области, ГРН и дата внесения записи в ЕГРЮЛ: 2246400518263 27.12.2024 г.).</w:t>
      </w:r>
    </w:p>
    <w:p w:rsidR="00504C97" w:rsidRDefault="004D36C1" w:rsidP="00177CED">
      <w:pPr>
        <w:spacing w:line="266" w:lineRule="auto"/>
        <w:ind w:firstLine="720"/>
        <w:jc w:val="both"/>
        <w:rPr>
          <w:color w:val="000000"/>
        </w:rPr>
      </w:pPr>
      <w:r>
        <w:rPr>
          <w:rFonts w:ascii="PT Astra Serif" w:hAnsi="PT Astra Serif" w:cs="PT Astra Serif"/>
          <w:color w:val="000000"/>
          <w:sz w:val="28"/>
          <w:szCs w:val="28"/>
        </w:rPr>
        <w:t xml:space="preserve">Уменьшилось на 2 - количество бюджетных учреждений на основании </w:t>
      </w:r>
      <w:r>
        <w:rPr>
          <w:rFonts w:ascii="PT Astra Serif" w:eastAsia="PT Astra Serif" w:hAnsi="PT Astra Serif" w:cs="PT Astra Serif"/>
          <w:color w:val="000000"/>
          <w:sz w:val="28"/>
          <w:szCs w:val="28"/>
          <w:shd w:val="clear" w:color="auto" w:fill="FFFFFF"/>
        </w:rPr>
        <w:t>распоряжения Правительства Саратовской области от 19 июля 2024 года</w:t>
      </w:r>
      <w:r>
        <w:rPr>
          <w:rFonts w:ascii="PT Astra Serif" w:eastAsia="PT Astra Serif" w:hAnsi="PT Astra Serif" w:cs="PT Astra Serif"/>
          <w:color w:val="000000"/>
          <w:sz w:val="28"/>
          <w:szCs w:val="28"/>
          <w:shd w:val="clear" w:color="auto" w:fill="FFFFFF"/>
        </w:rPr>
        <w:br/>
        <w:t xml:space="preserve">№ 205-Пр «О реорганизации государственных образовательных организаций Саратовской области» (прекращение государственного бюджетного образовательного учреждения Саратовской области «Средняя общеобразовательная школа с. </w:t>
      </w:r>
      <w:proofErr w:type="spellStart"/>
      <w:r>
        <w:rPr>
          <w:rFonts w:ascii="PT Astra Serif" w:eastAsia="PT Astra Serif" w:hAnsi="PT Astra Serif" w:cs="PT Astra Serif"/>
          <w:color w:val="000000"/>
          <w:sz w:val="28"/>
          <w:szCs w:val="28"/>
          <w:shd w:val="clear" w:color="auto" w:fill="FFFFFF"/>
        </w:rPr>
        <w:t>Белогорное</w:t>
      </w:r>
      <w:proofErr w:type="spellEnd"/>
      <w:r>
        <w:rPr>
          <w:rFonts w:ascii="PT Astra Serif" w:eastAsia="PT Astra Serif" w:hAnsi="PT Astra Serif" w:cs="PT Astra Serif"/>
          <w:color w:val="000000"/>
          <w:sz w:val="28"/>
          <w:szCs w:val="28"/>
          <w:shd w:val="clear" w:color="auto" w:fill="FFFFFF"/>
        </w:rPr>
        <w:t xml:space="preserve"> </w:t>
      </w:r>
      <w:proofErr w:type="spellStart"/>
      <w:r>
        <w:rPr>
          <w:rFonts w:ascii="PT Astra Serif" w:eastAsia="PT Astra Serif" w:hAnsi="PT Astra Serif" w:cs="PT Astra Serif"/>
          <w:color w:val="000000"/>
          <w:sz w:val="28"/>
          <w:szCs w:val="28"/>
          <w:shd w:val="clear" w:color="auto" w:fill="FFFFFF"/>
        </w:rPr>
        <w:t>Вольского</w:t>
      </w:r>
      <w:proofErr w:type="spellEnd"/>
      <w:r>
        <w:rPr>
          <w:rFonts w:ascii="PT Astra Serif" w:eastAsia="PT Astra Serif" w:hAnsi="PT Astra Serif" w:cs="PT Astra Serif"/>
          <w:color w:val="000000"/>
          <w:sz w:val="28"/>
          <w:szCs w:val="28"/>
          <w:shd w:val="clear" w:color="auto" w:fill="FFFFFF"/>
        </w:rPr>
        <w:t xml:space="preserve"> района», государственного бюджетного общеобразовательного учреждения Саратовской области «Средняя общеобразовательная школа п. Алексеевка </w:t>
      </w:r>
      <w:proofErr w:type="spellStart"/>
      <w:r>
        <w:rPr>
          <w:rFonts w:ascii="PT Astra Serif" w:eastAsia="PT Astra Serif" w:hAnsi="PT Astra Serif" w:cs="PT Astra Serif"/>
          <w:color w:val="000000"/>
          <w:sz w:val="28"/>
          <w:szCs w:val="28"/>
          <w:shd w:val="clear" w:color="auto" w:fill="FFFFFF"/>
        </w:rPr>
        <w:t>Хвалынского</w:t>
      </w:r>
      <w:proofErr w:type="spellEnd"/>
      <w:r>
        <w:rPr>
          <w:rFonts w:ascii="PT Astra Serif" w:eastAsia="PT Astra Serif" w:hAnsi="PT Astra Serif" w:cs="PT Astra Serif"/>
          <w:color w:val="000000"/>
          <w:sz w:val="28"/>
          <w:szCs w:val="28"/>
          <w:shd w:val="clear" w:color="auto" w:fill="FFFFFF"/>
        </w:rPr>
        <w:t xml:space="preserve"> района имени В.М. Пашина» путем реорганизации в форме присоединения к автономному общеобразовательному учреждению Саратовской области «Лицей-интернат 64», ГРН и дата внесения записи в ЕГРЮЛ: 2256400121943, 2256400121921 17.01.2025 г.)</w:t>
      </w:r>
      <w:r>
        <w:rPr>
          <w:rFonts w:ascii="PT Astra Serif" w:eastAsia="PT Astra Serif" w:hAnsi="PT Astra Serif" w:cs="PT Astra Serif"/>
          <w:color w:val="000000"/>
          <w:sz w:val="28"/>
          <w:szCs w:val="28"/>
        </w:rPr>
        <w:t>;</w:t>
      </w:r>
    </w:p>
    <w:p w:rsidR="00504C97" w:rsidRDefault="004D36C1" w:rsidP="00177CED">
      <w:pPr>
        <w:spacing w:line="266" w:lineRule="auto"/>
        <w:ind w:firstLine="720"/>
        <w:jc w:val="both"/>
        <w:rPr>
          <w:color w:val="000000"/>
        </w:rPr>
      </w:pPr>
      <w:r>
        <w:rPr>
          <w:rFonts w:ascii="PT Astra Serif" w:eastAsia="PT Astra Serif" w:hAnsi="PT Astra Serif" w:cs="PT Astra Serif"/>
          <w:b/>
          <w:color w:val="000000"/>
          <w:sz w:val="28"/>
          <w:szCs w:val="28"/>
          <w:shd w:val="clear" w:color="auto" w:fill="FFFFFF"/>
        </w:rPr>
        <w:t>019</w:t>
      </w:r>
      <w:r>
        <w:rPr>
          <w:rFonts w:ascii="Calibri" w:eastAsia="Calibri" w:hAnsi="Calibri" w:cs="Calibri"/>
          <w:color w:val="000000"/>
          <w:sz w:val="28"/>
          <w:szCs w:val="28"/>
          <w:shd w:val="clear" w:color="auto" w:fill="FFFFFF"/>
        </w:rPr>
        <w:t xml:space="preserve"> </w:t>
      </w:r>
      <w:r>
        <w:rPr>
          <w:rFonts w:ascii="PT Astra Serif" w:eastAsia="PT Astra Serif" w:hAnsi="PT Astra Serif" w:cs="PT Astra Serif"/>
          <w:b/>
          <w:color w:val="000000"/>
          <w:sz w:val="28"/>
          <w:szCs w:val="28"/>
          <w:shd w:val="clear" w:color="auto" w:fill="FFFFFF"/>
        </w:rPr>
        <w:t>Министерство культуры Саратовской области</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 xml:space="preserve">Уменьшилось на 1 - количество автономных учреждений в связи с изменением ведомственной принадлежности государственного автономного учреждения культуры Саратовской области «Исторический парк «Моя </w:t>
      </w:r>
      <w:r>
        <w:rPr>
          <w:rFonts w:ascii="PT Astra Serif" w:eastAsia="PT Astra Serif" w:hAnsi="PT Astra Serif" w:cs="PT Astra Serif"/>
          <w:color w:val="000000"/>
          <w:sz w:val="28"/>
          <w:szCs w:val="28"/>
          <w:shd w:val="clear" w:color="auto" w:fill="FFFFFF"/>
        </w:rPr>
        <w:lastRenderedPageBreak/>
        <w:t>история» на основании распоряжения Правительства Саратовской области от 21 ноября 2024 года № 332-Пр «Об изменении ведомственной принадлежности государственного автономного учреждения культуры Саратовской области» (функции и полномочия учредителя переданы министерству образования области, ГРН и дата внесения записи в ЕГРЮЛ: 2246400518263 27.12.2024 г.).</w:t>
      </w:r>
    </w:p>
    <w:p w:rsidR="00504C97" w:rsidRDefault="004D36C1" w:rsidP="00177CED">
      <w:pPr>
        <w:spacing w:line="266" w:lineRule="auto"/>
        <w:ind w:firstLine="720"/>
        <w:jc w:val="both"/>
        <w:rPr>
          <w:color w:val="000000"/>
        </w:rPr>
      </w:pPr>
      <w:r>
        <w:rPr>
          <w:rFonts w:ascii="PT Astra Serif" w:eastAsia="PT Astra Serif" w:hAnsi="PT Astra Serif" w:cs="PT Astra Serif"/>
          <w:b/>
          <w:color w:val="000000"/>
          <w:sz w:val="28"/>
          <w:szCs w:val="28"/>
          <w:shd w:val="clear" w:color="auto" w:fill="FFFFFF"/>
        </w:rPr>
        <w:t>027 Министерство строительства и жилищно-коммунального хозяйства Саратовской области</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Увеличилось на 1 - количество государственных унитарных предприятий в связи с принятием в государственную собственность муниципального унитарного предприятия на основании распоряжения Правительства Саратовской области от 10 октября 2025 года № 499-Пр «О муниципальном унитарном предприятии «</w:t>
      </w:r>
      <w:proofErr w:type="spellStart"/>
      <w:r>
        <w:rPr>
          <w:rFonts w:ascii="PT Astra Serif" w:eastAsia="PT Astra Serif" w:hAnsi="PT Astra Serif" w:cs="PT Astra Serif"/>
          <w:color w:val="000000"/>
          <w:sz w:val="28"/>
          <w:szCs w:val="28"/>
          <w:shd w:val="clear" w:color="auto" w:fill="FFFFFF"/>
        </w:rPr>
        <w:t>Хвалынский</w:t>
      </w:r>
      <w:proofErr w:type="spellEnd"/>
      <w:r>
        <w:rPr>
          <w:rFonts w:ascii="PT Astra Serif" w:eastAsia="PT Astra Serif" w:hAnsi="PT Astra Serif" w:cs="PT Astra Serif"/>
          <w:color w:val="000000"/>
          <w:sz w:val="28"/>
          <w:szCs w:val="28"/>
          <w:shd w:val="clear" w:color="auto" w:fill="FFFFFF"/>
        </w:rPr>
        <w:t xml:space="preserve"> Водоканал» (государственное унитарное предприятие Саратовской области «</w:t>
      </w:r>
      <w:proofErr w:type="spellStart"/>
      <w:r>
        <w:rPr>
          <w:rFonts w:ascii="PT Astra Serif" w:eastAsia="PT Astra Serif" w:hAnsi="PT Astra Serif" w:cs="PT Astra Serif"/>
          <w:color w:val="000000"/>
          <w:sz w:val="28"/>
          <w:szCs w:val="28"/>
          <w:shd w:val="clear" w:color="auto" w:fill="FFFFFF"/>
        </w:rPr>
        <w:t>Хвалынский</w:t>
      </w:r>
      <w:proofErr w:type="spellEnd"/>
      <w:r>
        <w:rPr>
          <w:rFonts w:ascii="PT Astra Serif" w:eastAsia="PT Astra Serif" w:hAnsi="PT Astra Serif" w:cs="PT Astra Serif"/>
          <w:color w:val="000000"/>
          <w:sz w:val="28"/>
          <w:szCs w:val="28"/>
          <w:shd w:val="clear" w:color="auto" w:fill="FFFFFF"/>
        </w:rPr>
        <w:t xml:space="preserve"> Водоканал» принято в государственную собственность области из </w:t>
      </w:r>
      <w:proofErr w:type="spellStart"/>
      <w:r>
        <w:rPr>
          <w:rFonts w:ascii="PT Astra Serif" w:eastAsia="PT Astra Serif" w:hAnsi="PT Astra Serif" w:cs="PT Astra Serif"/>
          <w:color w:val="000000"/>
          <w:sz w:val="28"/>
          <w:szCs w:val="28"/>
          <w:shd w:val="clear" w:color="auto" w:fill="FFFFFF"/>
        </w:rPr>
        <w:t>Хвалынского</w:t>
      </w:r>
      <w:proofErr w:type="spellEnd"/>
      <w:r>
        <w:rPr>
          <w:rFonts w:ascii="PT Astra Serif" w:eastAsia="PT Astra Serif" w:hAnsi="PT Astra Serif" w:cs="PT Astra Serif"/>
          <w:color w:val="000000"/>
          <w:sz w:val="28"/>
          <w:szCs w:val="28"/>
          <w:shd w:val="clear" w:color="auto" w:fill="FFFFFF"/>
        </w:rPr>
        <w:t xml:space="preserve"> муниципального района, ГРН и дата внесения записи в ЕГРЮЛ 2256401148980 06.11.2025 г.).</w:t>
      </w:r>
    </w:p>
    <w:p w:rsidR="00504C97" w:rsidRDefault="004D36C1" w:rsidP="00177CED">
      <w:pPr>
        <w:spacing w:line="266" w:lineRule="auto"/>
        <w:ind w:firstLine="720"/>
        <w:jc w:val="both"/>
        <w:rPr>
          <w:color w:val="000000"/>
        </w:rPr>
      </w:pPr>
      <w:r>
        <w:rPr>
          <w:rFonts w:ascii="PT Astra Serif" w:hAnsi="PT Astra Serif" w:cs="PT Astra Serif"/>
          <w:b/>
          <w:bCs/>
          <w:color w:val="000000"/>
          <w:sz w:val="28"/>
          <w:szCs w:val="28"/>
        </w:rPr>
        <w:t>029 Министерство транспорта и дорожного хозяйства Саратовской области</w:t>
      </w:r>
    </w:p>
    <w:p w:rsidR="00504C97" w:rsidRDefault="004D36C1" w:rsidP="00177CED">
      <w:pPr>
        <w:spacing w:line="266" w:lineRule="auto"/>
        <w:ind w:firstLine="720"/>
        <w:jc w:val="both"/>
        <w:rPr>
          <w:rFonts w:ascii="PT Astra Serif" w:hAnsi="PT Astra Serif" w:cs="PT Astra Serif"/>
          <w:color w:val="000000"/>
          <w:sz w:val="28"/>
          <w:szCs w:val="28"/>
        </w:rPr>
      </w:pPr>
      <w:r>
        <w:rPr>
          <w:rFonts w:ascii="PT Astra Serif" w:hAnsi="PT Astra Serif" w:cs="PT Astra Serif"/>
          <w:sz w:val="28"/>
          <w:szCs w:val="28"/>
        </w:rPr>
        <w:t xml:space="preserve">Уменьшилось на 1 - количество главных распорядителей бюджетных средств, на основании постановления Правительства Саратовской области </w:t>
      </w:r>
      <w:r>
        <w:rPr>
          <w:rFonts w:ascii="PT Astra Serif" w:hAnsi="PT Astra Serif" w:cs="PT Astra Serif"/>
          <w:color w:val="000000"/>
          <w:sz w:val="28"/>
          <w:szCs w:val="28"/>
        </w:rPr>
        <w:t xml:space="preserve">от </w:t>
      </w:r>
      <w:r>
        <w:rPr>
          <w:rFonts w:ascii="PT Astra Serif" w:hAnsi="PT Astra Serif" w:cs="PT Astra Serif"/>
          <w:color w:val="000000"/>
          <w:sz w:val="28"/>
          <w:szCs w:val="28"/>
        </w:rPr>
        <w:br/>
        <w:t>10 апреля 2024 года № 282-П «Вопросы Правительства Саратовской области» министерство транспорта и дорожного хозяйства области реорганизовано путем разделения его на министерство транспорта области и министерство дорожного хозяйства области (</w:t>
      </w:r>
      <w:r>
        <w:rPr>
          <w:rFonts w:ascii="PT Astra Serif" w:eastAsia="PT Astra Serif" w:hAnsi="PT Astra Serif" w:cs="PT Astra Serif"/>
          <w:color w:val="000000"/>
          <w:sz w:val="28"/>
          <w:szCs w:val="28"/>
          <w:shd w:val="clear" w:color="auto" w:fill="FFFFFF"/>
        </w:rPr>
        <w:t>ГРН и дата внесения записи в ЕГРЮЛ</w:t>
      </w:r>
      <w:r>
        <w:rPr>
          <w:rFonts w:ascii="PT Astra Serif" w:hAnsi="PT Astra Serif" w:cs="PT Astra Serif"/>
          <w:color w:val="000000"/>
          <w:sz w:val="28"/>
          <w:szCs w:val="28"/>
        </w:rPr>
        <w:t xml:space="preserve"> 2256400117720 15.01.2025 г., дата прекращения деятельности 15.01.2025 г.).</w:t>
      </w:r>
    </w:p>
    <w:p w:rsidR="00504C97" w:rsidRDefault="004D36C1" w:rsidP="00177CED">
      <w:pPr>
        <w:spacing w:line="266" w:lineRule="auto"/>
        <w:ind w:firstLine="720"/>
        <w:jc w:val="both"/>
        <w:rPr>
          <w:rFonts w:ascii="PT Astra Serif" w:hAnsi="PT Astra Serif" w:cs="PT Astra Serif"/>
          <w:color w:val="000000"/>
          <w:sz w:val="28"/>
          <w:szCs w:val="28"/>
        </w:rPr>
      </w:pPr>
      <w:r>
        <w:rPr>
          <w:rFonts w:ascii="PT Astra Serif" w:hAnsi="PT Astra Serif" w:cs="PT Astra Serif"/>
          <w:color w:val="000000"/>
          <w:sz w:val="28"/>
          <w:szCs w:val="28"/>
        </w:rPr>
        <w:t xml:space="preserve">Уменьшилось на 2 - количество казенных учреждений, </w:t>
      </w:r>
      <w:r>
        <w:rPr>
          <w:rFonts w:ascii="PT Astra Serif" w:hAnsi="PT Astra Serif" w:cs="PT Astra Serif"/>
          <w:sz w:val="28"/>
          <w:szCs w:val="28"/>
        </w:rPr>
        <w:t xml:space="preserve">на основании постановления Правительства Саратовской области </w:t>
      </w:r>
      <w:r>
        <w:rPr>
          <w:rFonts w:ascii="PT Astra Serif" w:hAnsi="PT Astra Serif" w:cs="PT Astra Serif"/>
          <w:color w:val="000000"/>
          <w:sz w:val="28"/>
          <w:szCs w:val="28"/>
        </w:rPr>
        <w:t>от 10 апреля 2024 года</w:t>
      </w:r>
      <w:r>
        <w:rPr>
          <w:rFonts w:ascii="PT Astra Serif" w:hAnsi="PT Astra Serif" w:cs="PT Astra Serif"/>
          <w:color w:val="000000"/>
          <w:sz w:val="28"/>
          <w:szCs w:val="28"/>
        </w:rPr>
        <w:br/>
        <w:t>№ 282-П «Вопросы Правительства Саратовской области» функции и полномочия учредителя переданы в ведение министерства дорожного хозяйства области.</w:t>
      </w:r>
    </w:p>
    <w:p w:rsidR="00504C97" w:rsidRDefault="004D36C1" w:rsidP="00177CED">
      <w:pPr>
        <w:spacing w:line="266" w:lineRule="auto"/>
        <w:ind w:firstLine="720"/>
        <w:jc w:val="both"/>
        <w:rPr>
          <w:rFonts w:ascii="PT Astra Serif" w:hAnsi="PT Astra Serif" w:cs="PT Astra Serif"/>
          <w:b/>
          <w:bCs/>
          <w:color w:val="000000"/>
          <w:sz w:val="28"/>
          <w:szCs w:val="28"/>
        </w:rPr>
      </w:pPr>
      <w:r>
        <w:rPr>
          <w:rFonts w:ascii="PT Astra Serif" w:hAnsi="PT Astra Serif" w:cs="PT Astra Serif"/>
          <w:b/>
          <w:bCs/>
          <w:color w:val="000000"/>
          <w:sz w:val="28"/>
          <w:szCs w:val="28"/>
        </w:rPr>
        <w:t>034 Избирательная комиссия Саратовской области</w:t>
      </w:r>
    </w:p>
    <w:p w:rsidR="00504C97" w:rsidRDefault="004D36C1" w:rsidP="00177CED">
      <w:pPr>
        <w:spacing w:line="266" w:lineRule="auto"/>
        <w:ind w:firstLine="720"/>
        <w:jc w:val="both"/>
        <w:rPr>
          <w:rFonts w:ascii="PT Astra Serif" w:hAnsi="PT Astra Serif" w:cs="PT Astra Serif"/>
          <w:color w:val="000000"/>
          <w:sz w:val="28"/>
          <w:szCs w:val="28"/>
        </w:rPr>
      </w:pPr>
      <w:r>
        <w:rPr>
          <w:rFonts w:ascii="PT Astra Serif" w:hAnsi="PT Astra Serif" w:cs="PT Astra Serif"/>
          <w:color w:val="000000"/>
          <w:sz w:val="28"/>
          <w:szCs w:val="28"/>
        </w:rPr>
        <w:t>Увеличилось на 1 - количество получателей бюджетных средств в связи с наделением правами юридического лица территориальной избирательной комиссии ЗАТО Светлый на основании Закона Саратовской области от 7 ноября 2024 года № 138-ЗСО «О внесении изменений в статью 2 Закона Саратовской области «О территориальных избирательных комиссиях в Саратовской области» (ГРН и дата внесения записи в ЕГРЮЛ 1256400000306 16.01.2025 г.).</w:t>
      </w:r>
    </w:p>
    <w:p w:rsidR="00504C97" w:rsidRDefault="004D36C1" w:rsidP="00177CED">
      <w:pPr>
        <w:spacing w:line="266" w:lineRule="auto"/>
        <w:ind w:firstLine="720"/>
        <w:jc w:val="both"/>
        <w:rPr>
          <w:rFonts w:ascii="PT Astra Serif" w:hAnsi="PT Astra Serif" w:cs="PT Astra Serif"/>
          <w:b/>
          <w:bCs/>
          <w:color w:val="000000"/>
          <w:sz w:val="28"/>
          <w:szCs w:val="28"/>
        </w:rPr>
      </w:pPr>
      <w:r>
        <w:rPr>
          <w:rFonts w:ascii="PT Astra Serif" w:hAnsi="PT Astra Serif" w:cs="PT Astra Serif"/>
          <w:b/>
          <w:bCs/>
          <w:color w:val="000000"/>
          <w:sz w:val="28"/>
          <w:szCs w:val="28"/>
        </w:rPr>
        <w:lastRenderedPageBreak/>
        <w:t>037 Комитет культурного наследия Саратовской области</w:t>
      </w:r>
    </w:p>
    <w:p w:rsidR="00504C97" w:rsidRDefault="004D36C1" w:rsidP="00177CED">
      <w:pPr>
        <w:spacing w:line="266" w:lineRule="auto"/>
        <w:ind w:firstLine="720"/>
        <w:jc w:val="both"/>
        <w:rPr>
          <w:rFonts w:ascii="PT Astra Serif" w:hAnsi="PT Astra Serif" w:cs="PT Astra Serif"/>
          <w:color w:val="000000"/>
          <w:sz w:val="28"/>
          <w:szCs w:val="28"/>
        </w:rPr>
      </w:pPr>
      <w:r>
        <w:rPr>
          <w:rFonts w:ascii="PT Astra Serif" w:hAnsi="PT Astra Serif" w:cs="PT Astra Serif"/>
          <w:color w:val="000000"/>
          <w:sz w:val="28"/>
          <w:szCs w:val="28"/>
        </w:rPr>
        <w:t xml:space="preserve">Уменьшилось на 1 - количество автономных учреждений и увеличилось на 1 - количество казенных учреждений, на основании </w:t>
      </w:r>
      <w:r>
        <w:rPr>
          <w:rFonts w:ascii="PT Astra Serif" w:eastAsia="PT Astra Serif" w:hAnsi="PT Astra Serif" w:cs="PT Astra Serif"/>
          <w:color w:val="000000"/>
          <w:sz w:val="28"/>
          <w:szCs w:val="28"/>
          <w:shd w:val="clear" w:color="auto" w:fill="FFFFFF"/>
        </w:rPr>
        <w:t>распоряжения Правительства Саратовской области от</w:t>
      </w:r>
      <w:r>
        <w:rPr>
          <w:rFonts w:ascii="PT Astra Serif" w:hAnsi="PT Astra Serif" w:cs="PT Astra Serif"/>
          <w:color w:val="000000"/>
          <w:sz w:val="28"/>
          <w:szCs w:val="28"/>
        </w:rPr>
        <w:t xml:space="preserve"> 16 июля 2025 года № 300-Пр</w:t>
      </w:r>
      <w:r w:rsidR="00177CED">
        <w:rPr>
          <w:rFonts w:ascii="PT Astra Serif" w:hAnsi="PT Astra Serif" w:cs="PT Astra Serif"/>
          <w:color w:val="000000"/>
          <w:sz w:val="28"/>
          <w:szCs w:val="28"/>
        </w:rPr>
        <w:t xml:space="preserve"> </w:t>
      </w:r>
      <w:r>
        <w:rPr>
          <w:rFonts w:ascii="PT Astra Serif" w:hAnsi="PT Astra Serif" w:cs="PT Astra Serif"/>
          <w:color w:val="000000"/>
          <w:sz w:val="28"/>
          <w:szCs w:val="28"/>
        </w:rPr>
        <w:t>«О создании государственного казенного учреждения культуры путем изменения типа государственного автономного учреждения культуры» создано государственное казенное учреждение культуры «Научно-производственный центр по историко-культурному наследию Саратовской области» путем изменения типа государственного автономного учреждения культуры «Научно-производственный центр по историко-культурному наследию Саратовской области (ГРН и дата внесения записи в ЕГРЮЛ 2256401012130 29.07.2025 г.).</w:t>
      </w:r>
    </w:p>
    <w:p w:rsidR="00504C97" w:rsidRDefault="004D36C1" w:rsidP="00177CED">
      <w:pPr>
        <w:spacing w:line="266" w:lineRule="auto"/>
        <w:ind w:firstLine="720"/>
        <w:jc w:val="both"/>
        <w:rPr>
          <w:color w:val="000000"/>
        </w:rPr>
      </w:pPr>
      <w:r>
        <w:rPr>
          <w:rFonts w:ascii="PT Astra Serif" w:eastAsia="PT Astra Serif" w:hAnsi="PT Astra Serif" w:cs="PT Astra Serif"/>
          <w:b/>
          <w:color w:val="000000"/>
          <w:sz w:val="28"/>
          <w:szCs w:val="28"/>
          <w:shd w:val="clear" w:color="auto" w:fill="FFFFFF"/>
        </w:rPr>
        <w:t>039 Министерство здравоохранения Саратовской области</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Уменьшилось на 5 - количество бюджетных учреждений, на основании распоряжения Правительства Саратовской области от 5 ноября 2024 года</w:t>
      </w:r>
      <w:r>
        <w:rPr>
          <w:rFonts w:ascii="PT Astra Serif" w:eastAsia="PT Astra Serif" w:hAnsi="PT Astra Serif" w:cs="PT Astra Serif"/>
          <w:color w:val="000000"/>
          <w:sz w:val="28"/>
          <w:szCs w:val="28"/>
          <w:shd w:val="clear" w:color="auto" w:fill="FFFFFF"/>
        </w:rPr>
        <w:br/>
        <w:t>№ 311-Пр «О реорганизации государственных учреждений здравоохранения Саратовской области» реорганизовано государственное учреждение здравоохранения «Областной клинический противотуберкулезный диспансер», государственное учреждение здравоохранения «</w:t>
      </w:r>
      <w:proofErr w:type="spellStart"/>
      <w:r>
        <w:rPr>
          <w:rFonts w:ascii="PT Astra Serif" w:eastAsia="PT Astra Serif" w:hAnsi="PT Astra Serif" w:cs="PT Astra Serif"/>
          <w:color w:val="000000"/>
          <w:sz w:val="28"/>
          <w:szCs w:val="28"/>
          <w:shd w:val="clear" w:color="auto" w:fill="FFFFFF"/>
        </w:rPr>
        <w:t>Балаковский</w:t>
      </w:r>
      <w:proofErr w:type="spellEnd"/>
      <w:r>
        <w:rPr>
          <w:rFonts w:ascii="PT Astra Serif" w:eastAsia="PT Astra Serif" w:hAnsi="PT Astra Serif" w:cs="PT Astra Serif"/>
          <w:color w:val="000000"/>
          <w:sz w:val="28"/>
          <w:szCs w:val="28"/>
          <w:shd w:val="clear" w:color="auto" w:fill="FFFFFF"/>
        </w:rPr>
        <w:t xml:space="preserve"> противотуберкулезный диспансер», государственное учреждение здравоохранения </w:t>
      </w:r>
      <w:r w:rsidRPr="00177CED">
        <w:rPr>
          <w:rFonts w:ascii="PT Astra Serif" w:eastAsia="PT Astra Serif" w:hAnsi="PT Astra Serif" w:cs="PT Astra Serif"/>
          <w:color w:val="000000"/>
          <w:spacing w:val="-2"/>
          <w:sz w:val="28"/>
          <w:szCs w:val="28"/>
          <w:shd w:val="clear" w:color="auto" w:fill="FFFFFF"/>
        </w:rPr>
        <w:t>«Противотуберкулезный диспансер Ленинского района</w:t>
      </w:r>
      <w:r w:rsidRPr="00177CED">
        <w:rPr>
          <w:rFonts w:ascii="PT Astra Serif" w:eastAsia="PT Astra Serif" w:hAnsi="PT Astra Serif" w:cs="PT Astra Serif"/>
          <w:color w:val="000000"/>
          <w:spacing w:val="-2"/>
          <w:sz w:val="28"/>
          <w:szCs w:val="28"/>
          <w:shd w:val="clear" w:color="auto" w:fill="FFFFFF"/>
        </w:rPr>
        <w:br/>
        <w:t>г.</w:t>
      </w:r>
      <w:r w:rsidR="00177CED" w:rsidRPr="00177CED">
        <w:rPr>
          <w:rFonts w:ascii="PT Astra Serif" w:eastAsia="PT Astra Serif" w:hAnsi="PT Astra Serif" w:cs="PT Astra Serif"/>
          <w:color w:val="000000"/>
          <w:spacing w:val="-2"/>
          <w:sz w:val="28"/>
          <w:szCs w:val="28"/>
          <w:shd w:val="clear" w:color="auto" w:fill="FFFFFF"/>
        </w:rPr>
        <w:t xml:space="preserve"> </w:t>
      </w:r>
      <w:r w:rsidRPr="00177CED">
        <w:rPr>
          <w:rFonts w:ascii="PT Astra Serif" w:eastAsia="PT Astra Serif" w:hAnsi="PT Astra Serif" w:cs="PT Astra Serif"/>
          <w:color w:val="000000"/>
          <w:spacing w:val="-2"/>
          <w:sz w:val="28"/>
          <w:szCs w:val="28"/>
          <w:shd w:val="clear" w:color="auto" w:fill="FFFFFF"/>
        </w:rPr>
        <w:t>Саратова»</w:t>
      </w:r>
      <w:r w:rsidRPr="00177CED">
        <w:rPr>
          <w:rFonts w:ascii="PT Astra Serif" w:eastAsia="PT Astra Serif" w:hAnsi="PT Astra Serif" w:cs="PT Astra Serif"/>
          <w:color w:val="000000"/>
          <w:spacing w:val="10"/>
          <w:sz w:val="28"/>
          <w:szCs w:val="28"/>
          <w:shd w:val="clear" w:color="auto" w:fill="FFFFFF"/>
        </w:rPr>
        <w:t xml:space="preserve">, </w:t>
      </w:r>
      <w:r>
        <w:rPr>
          <w:rFonts w:ascii="PT Astra Serif" w:eastAsia="PT Astra Serif" w:hAnsi="PT Astra Serif" w:cs="PT Astra Serif"/>
          <w:color w:val="000000"/>
          <w:sz w:val="28"/>
          <w:szCs w:val="28"/>
          <w:shd w:val="clear" w:color="auto" w:fill="FFFFFF"/>
        </w:rPr>
        <w:t>государственное учреждение здравоохранения «Противотуберкулезный диспансер Заводского района г.</w:t>
      </w:r>
      <w:r w:rsidR="00177CED">
        <w:rPr>
          <w:rFonts w:ascii="PT Astra Serif" w:eastAsia="PT Astra Serif" w:hAnsi="PT Astra Serif" w:cs="PT Astra Serif"/>
          <w:color w:val="000000"/>
          <w:sz w:val="28"/>
          <w:szCs w:val="28"/>
          <w:shd w:val="clear" w:color="auto" w:fill="FFFFFF"/>
        </w:rPr>
        <w:t xml:space="preserve"> </w:t>
      </w:r>
      <w:r>
        <w:rPr>
          <w:rFonts w:ascii="PT Astra Serif" w:eastAsia="PT Astra Serif" w:hAnsi="PT Astra Serif" w:cs="PT Astra Serif"/>
          <w:color w:val="000000"/>
          <w:sz w:val="28"/>
          <w:szCs w:val="28"/>
          <w:shd w:val="clear" w:color="auto" w:fill="FFFFFF"/>
        </w:rPr>
        <w:t>Саратова», государственное учреждение здравоохранения «Детский противотуберкулезный диспансер» и государственное учреждение здравоохранения «Областная клиническая туберкулезная больница» в форме присоединения второго, третьего, четвертого, пятого и шестого учреждения к первому (ГРН и дата внесения записи в ЕГРЮЛ 2256400797101, 2256400797145, 2256400797134, 2256400797123, 2256400797112 14.03.2025 г., дата прекращения деятельности: 14.03.2025 г.).</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t>Уменьшилось на 1 - количество государственных унитарных предприятий, на основании распоряжения Правительства Саратовской области от 19 сентября 2024 года № 271-Пр «О ликвидации государственного медицинского унитарного предприятия Саратовской области «Лечебно-консультативный центр г. «Саратова» (ГРН и дата внесения записи в ЕГРЮЛ 2256400445960 03.02.2025 г. дата прекращения деятельности 03.02.2025 г.).</w:t>
      </w:r>
    </w:p>
    <w:p w:rsidR="00504C97" w:rsidRDefault="004D36C1" w:rsidP="00177CED">
      <w:pPr>
        <w:spacing w:line="266" w:lineRule="auto"/>
        <w:ind w:firstLine="720"/>
        <w:jc w:val="both"/>
        <w:rPr>
          <w:color w:val="000000"/>
        </w:rPr>
      </w:pPr>
      <w:r>
        <w:rPr>
          <w:rFonts w:ascii="PT Astra Serif" w:eastAsia="PT Astra Serif" w:hAnsi="PT Astra Serif" w:cs="PT Astra Serif"/>
          <w:b/>
          <w:color w:val="000000"/>
          <w:sz w:val="28"/>
          <w:szCs w:val="28"/>
          <w:shd w:val="clear" w:color="auto" w:fill="FFFFFF"/>
        </w:rPr>
        <w:t>042 Министерство труда и социальной защиты Саратовской области</w:t>
      </w:r>
    </w:p>
    <w:p w:rsidR="00504C97" w:rsidRDefault="004D36C1" w:rsidP="00177CED">
      <w:pPr>
        <w:spacing w:line="266" w:lineRule="auto"/>
        <w:ind w:firstLine="720"/>
        <w:jc w:val="both"/>
        <w:rPr>
          <w:color w:val="000000"/>
        </w:rPr>
      </w:pPr>
      <w:r>
        <w:rPr>
          <w:rFonts w:ascii="PT Astra Serif" w:eastAsia="PT Astra Serif" w:hAnsi="PT Astra Serif" w:cs="PT Astra Serif"/>
          <w:color w:val="000000"/>
          <w:sz w:val="28"/>
          <w:szCs w:val="28"/>
          <w:shd w:val="clear" w:color="auto" w:fill="FFFFFF"/>
        </w:rPr>
        <w:lastRenderedPageBreak/>
        <w:t>Уменьшилось на 3 - количество бюджетных учреждений и увеличилось на 3 - количество автономных учреждений в связи с изменением типа учреждений, на основании:</w:t>
      </w:r>
    </w:p>
    <w:p w:rsidR="00504C97" w:rsidRDefault="004D36C1" w:rsidP="00177CED">
      <w:pPr>
        <w:spacing w:line="266" w:lineRule="auto"/>
        <w:ind w:firstLine="720"/>
        <w:jc w:val="both"/>
      </w:pPr>
      <w:r>
        <w:rPr>
          <w:rFonts w:ascii="PT Astra Serif" w:eastAsia="PT Astra Serif" w:hAnsi="PT Astra Serif" w:cs="PT Astra Serif"/>
          <w:color w:val="000000"/>
          <w:sz w:val="28"/>
          <w:szCs w:val="28"/>
          <w:shd w:val="clear" w:color="auto" w:fill="FFFFFF"/>
        </w:rPr>
        <w:t>распоряжения Правительства Саратовской области от 24 сентября 2025 года № 476-Пр «О создании государственного автономного учреждения путем изменения типа государственного бюджетного учреждения» (государственное автономное учреждение Саратовской области «</w:t>
      </w:r>
      <w:proofErr w:type="spellStart"/>
      <w:r>
        <w:rPr>
          <w:rFonts w:ascii="PT Astra Serif" w:eastAsia="PT Astra Serif" w:hAnsi="PT Astra Serif" w:cs="PT Astra Serif"/>
          <w:color w:val="000000"/>
          <w:sz w:val="28"/>
          <w:szCs w:val="28"/>
          <w:shd w:val="clear" w:color="auto" w:fill="FFFFFF"/>
        </w:rPr>
        <w:t>Белогорновский</w:t>
      </w:r>
      <w:proofErr w:type="spellEnd"/>
      <w:r>
        <w:rPr>
          <w:rFonts w:ascii="PT Astra Serif" w:eastAsia="PT Astra Serif" w:hAnsi="PT Astra Serif" w:cs="PT Astra Serif"/>
          <w:color w:val="000000"/>
          <w:sz w:val="28"/>
          <w:szCs w:val="28"/>
          <w:shd w:val="clear" w:color="auto" w:fill="FFFFFF"/>
        </w:rPr>
        <w:t xml:space="preserve"> дом-интернат для престарелых и инвалидов», ГРН и дата внесения записи в ЕГРЮЛ 2256401103760 01.10.2025 г.);</w:t>
      </w:r>
    </w:p>
    <w:p w:rsidR="00504C97" w:rsidRDefault="004D36C1" w:rsidP="00177CED">
      <w:pPr>
        <w:spacing w:line="266" w:lineRule="auto"/>
        <w:ind w:firstLine="720"/>
        <w:jc w:val="both"/>
      </w:pPr>
      <w:r>
        <w:rPr>
          <w:rFonts w:ascii="PT Astra Serif" w:eastAsia="PT Astra Serif" w:hAnsi="PT Astra Serif" w:cs="PT Astra Serif"/>
          <w:color w:val="000000"/>
          <w:sz w:val="28"/>
          <w:szCs w:val="28"/>
          <w:shd w:val="clear" w:color="auto" w:fill="FFFFFF"/>
        </w:rPr>
        <w:t>распоряжения Правительства Саратовской области от 24 сентября</w:t>
      </w:r>
      <w:r>
        <w:rPr>
          <w:rFonts w:ascii="PT Astra Serif" w:eastAsia="PT Astra Serif" w:hAnsi="PT Astra Serif" w:cs="PT Astra Serif"/>
          <w:color w:val="000000"/>
          <w:sz w:val="28"/>
          <w:szCs w:val="28"/>
          <w:shd w:val="clear" w:color="auto" w:fill="FFFFFF"/>
        </w:rPr>
        <w:br/>
        <w:t>2025 года № 477-Пр «О создании государственного автономного учреждения путем изменения типа государственного бюджетного учреждения» (государственное автономное учреждение Саратовской области «</w:t>
      </w:r>
      <w:proofErr w:type="spellStart"/>
      <w:r>
        <w:rPr>
          <w:rFonts w:ascii="PT Astra Serif" w:eastAsia="PT Astra Serif" w:hAnsi="PT Astra Serif" w:cs="PT Astra Serif"/>
          <w:color w:val="000000"/>
          <w:sz w:val="28"/>
          <w:szCs w:val="28"/>
          <w:shd w:val="clear" w:color="auto" w:fill="FFFFFF"/>
        </w:rPr>
        <w:t>Вольский</w:t>
      </w:r>
      <w:proofErr w:type="spellEnd"/>
      <w:r>
        <w:rPr>
          <w:rFonts w:ascii="PT Astra Serif" w:eastAsia="PT Astra Serif" w:hAnsi="PT Astra Serif" w:cs="PT Astra Serif"/>
          <w:color w:val="000000"/>
          <w:sz w:val="28"/>
          <w:szCs w:val="28"/>
          <w:shd w:val="clear" w:color="auto" w:fill="FFFFFF"/>
        </w:rPr>
        <w:t xml:space="preserve"> реабилитационный центр для детей и подростков с ограниченными возможностями», ГРН и дата внесения записи в ЕГРЮЛ 2256401103759 01.10.2025 г.);</w:t>
      </w:r>
    </w:p>
    <w:p w:rsidR="00504C97" w:rsidRDefault="004D36C1" w:rsidP="00177CED">
      <w:pPr>
        <w:spacing w:line="266" w:lineRule="auto"/>
        <w:ind w:firstLine="720"/>
        <w:jc w:val="both"/>
      </w:pPr>
      <w:r>
        <w:rPr>
          <w:rFonts w:ascii="PT Astra Serif" w:eastAsia="PT Astra Serif" w:hAnsi="PT Astra Serif" w:cs="PT Astra Serif"/>
          <w:color w:val="000000"/>
          <w:sz w:val="28"/>
          <w:szCs w:val="28"/>
          <w:shd w:val="clear" w:color="auto" w:fill="FFFFFF"/>
        </w:rPr>
        <w:t>распоряжения Правительства Саратовской области от 14 октября 2025 года № 502-Пр «О создании государственного автономного учреждения путем изменения типа государственного бюджетного учреждения» (государственное автономное учреждение Саратовской области «</w:t>
      </w:r>
      <w:proofErr w:type="spellStart"/>
      <w:r>
        <w:rPr>
          <w:rFonts w:ascii="PT Astra Serif" w:eastAsia="PT Astra Serif" w:hAnsi="PT Astra Serif" w:cs="PT Astra Serif"/>
          <w:color w:val="000000"/>
          <w:sz w:val="28"/>
          <w:szCs w:val="28"/>
          <w:shd w:val="clear" w:color="auto" w:fill="FFFFFF"/>
        </w:rPr>
        <w:t>Ершовский</w:t>
      </w:r>
      <w:proofErr w:type="spellEnd"/>
      <w:r>
        <w:rPr>
          <w:rFonts w:ascii="PT Astra Serif" w:eastAsia="PT Astra Serif" w:hAnsi="PT Astra Serif" w:cs="PT Astra Serif"/>
          <w:color w:val="000000"/>
          <w:sz w:val="28"/>
          <w:szCs w:val="28"/>
          <w:shd w:val="clear" w:color="auto" w:fill="FFFFFF"/>
        </w:rPr>
        <w:t xml:space="preserve"> реабилитационный центр для детей и подростков с ограниченными возможностями», ГРН и дата внесения записи в ЕГРЮЛ 2256401121029 17.10.2025 г.).</w:t>
      </w:r>
    </w:p>
    <w:p w:rsidR="00504C97" w:rsidRDefault="004D36C1" w:rsidP="00177CED">
      <w:pPr>
        <w:spacing w:line="266" w:lineRule="auto"/>
        <w:ind w:firstLine="720"/>
        <w:jc w:val="both"/>
        <w:rPr>
          <w:rFonts w:ascii="PT Astra Serif" w:hAnsi="PT Astra Serif" w:cs="PT Astra Serif"/>
          <w:b/>
          <w:bCs/>
          <w:sz w:val="28"/>
          <w:szCs w:val="28"/>
        </w:rPr>
      </w:pPr>
      <w:r>
        <w:rPr>
          <w:rFonts w:ascii="PT Astra Serif" w:hAnsi="PT Astra Serif" w:cs="PT Astra Serif"/>
          <w:b/>
          <w:bCs/>
          <w:sz w:val="28"/>
          <w:szCs w:val="28"/>
        </w:rPr>
        <w:t xml:space="preserve">078 Министерство транспорта Саратовской области </w:t>
      </w:r>
    </w:p>
    <w:p w:rsidR="00504C97" w:rsidRDefault="004D36C1" w:rsidP="00177CED">
      <w:pPr>
        <w:spacing w:line="266" w:lineRule="auto"/>
        <w:ind w:firstLine="720"/>
        <w:jc w:val="both"/>
        <w:rPr>
          <w:rFonts w:ascii="PT Astra Serif" w:hAnsi="PT Astra Serif" w:cs="PT Astra Serif"/>
          <w:sz w:val="28"/>
          <w:szCs w:val="28"/>
        </w:rPr>
      </w:pPr>
      <w:r>
        <w:rPr>
          <w:rFonts w:ascii="PT Astra Serif" w:hAnsi="PT Astra Serif" w:cs="PT Astra Serif"/>
          <w:sz w:val="28"/>
          <w:szCs w:val="28"/>
        </w:rPr>
        <w:t>Увеличилось на 1 - количество главных распорядителей бюджетных средств, на основании постановления Правительства Саратовской области</w:t>
      </w:r>
      <w:r>
        <w:rPr>
          <w:rFonts w:ascii="PT Astra Serif" w:hAnsi="PT Astra Serif" w:cs="PT Astra Serif"/>
          <w:sz w:val="28"/>
          <w:szCs w:val="28"/>
        </w:rPr>
        <w:br/>
      </w:r>
      <w:r>
        <w:rPr>
          <w:rFonts w:ascii="PT Astra Serif" w:hAnsi="PT Astra Serif" w:cs="PT Astra Serif"/>
          <w:color w:val="000000"/>
          <w:sz w:val="28"/>
          <w:szCs w:val="28"/>
        </w:rPr>
        <w:t>от 10 апреля 2024 года № 282-П «Вопросы Правительства Саратовской области» министерство транспорта и дорожного хозяйства области реорганизовано путем разделения его на министерство транспорта области и министерство дорожного хозяйства области (</w:t>
      </w:r>
      <w:r>
        <w:rPr>
          <w:rFonts w:ascii="PT Astra Serif" w:eastAsia="PT Astra Serif" w:hAnsi="PT Astra Serif" w:cs="PT Astra Serif"/>
          <w:color w:val="000000"/>
          <w:sz w:val="28"/>
          <w:szCs w:val="28"/>
          <w:shd w:val="clear" w:color="auto" w:fill="FFFFFF"/>
        </w:rPr>
        <w:t>ИНН 6452155459, ГРН и дата внесения записи в ЕГРЮЛ</w:t>
      </w:r>
      <w:r>
        <w:rPr>
          <w:rFonts w:ascii="PT Astra Serif" w:hAnsi="PT Astra Serif" w:cs="PT Astra Serif"/>
          <w:color w:val="000000"/>
          <w:sz w:val="28"/>
          <w:szCs w:val="28"/>
        </w:rPr>
        <w:t xml:space="preserve"> 1256400000174 15.01.2025 г.)</w:t>
      </w:r>
      <w:r>
        <w:rPr>
          <w:rFonts w:ascii="PT Astra Serif" w:hAnsi="PT Astra Serif" w:cs="PT Astra Serif"/>
          <w:sz w:val="28"/>
          <w:szCs w:val="28"/>
        </w:rPr>
        <w:t>.</w:t>
      </w:r>
    </w:p>
    <w:p w:rsidR="00504C97" w:rsidRDefault="004D36C1" w:rsidP="00177CED">
      <w:pPr>
        <w:spacing w:line="266" w:lineRule="auto"/>
        <w:ind w:firstLine="720"/>
        <w:jc w:val="both"/>
        <w:rPr>
          <w:rFonts w:ascii="PT Astra Serif" w:hAnsi="PT Astra Serif" w:cs="PT Astra Serif"/>
          <w:sz w:val="28"/>
          <w:szCs w:val="28"/>
        </w:rPr>
      </w:pPr>
      <w:r>
        <w:rPr>
          <w:rFonts w:ascii="PT Astra Serif" w:hAnsi="PT Astra Serif" w:cs="PT Astra Serif"/>
          <w:sz w:val="28"/>
          <w:szCs w:val="28"/>
        </w:rPr>
        <w:t xml:space="preserve">Увеличилось на 1 - количество казенных учреждений, на основании </w:t>
      </w:r>
      <w:r>
        <w:rPr>
          <w:rFonts w:ascii="PT Astra Serif" w:eastAsia="PT Astra Serif" w:hAnsi="PT Astra Serif" w:cs="PT Astra Serif"/>
          <w:color w:val="000000"/>
          <w:sz w:val="28"/>
          <w:szCs w:val="28"/>
          <w:shd w:val="clear" w:color="auto" w:fill="FFFFFF"/>
        </w:rPr>
        <w:t>распоряжения Правительства Саратовской области от</w:t>
      </w:r>
      <w:r>
        <w:rPr>
          <w:rFonts w:ascii="PT Astra Serif" w:hAnsi="PT Astra Serif" w:cs="PT Astra Serif"/>
          <w:sz w:val="28"/>
          <w:szCs w:val="28"/>
        </w:rPr>
        <w:t xml:space="preserve"> 27 января 2025 года</w:t>
      </w:r>
      <w:r>
        <w:rPr>
          <w:rFonts w:ascii="PT Astra Serif" w:hAnsi="PT Astra Serif" w:cs="PT Astra Serif"/>
          <w:sz w:val="28"/>
          <w:szCs w:val="28"/>
        </w:rPr>
        <w:br/>
        <w:t>№ 35-Пр «О реорганизации государственного казенного учреждения Саратовской области «Дирекция транспорта и дорожного хозяйства» реорганизовано путем выделения государственное казенное учреждение Саратовской области «Дирекция транспорта» (ИНН 6452156406, ГРН и дата внесения записи в ЕГРЮЛ 1256400006114 05.06.2025 г.).</w:t>
      </w:r>
    </w:p>
    <w:p w:rsidR="00504C97" w:rsidRDefault="004D36C1" w:rsidP="00177CED">
      <w:pPr>
        <w:spacing w:line="266" w:lineRule="auto"/>
        <w:ind w:firstLine="720"/>
        <w:jc w:val="both"/>
        <w:rPr>
          <w:rFonts w:ascii="PT Astra Serif" w:hAnsi="PT Astra Serif" w:cs="PT Astra Serif"/>
          <w:b/>
          <w:bCs/>
          <w:sz w:val="28"/>
          <w:szCs w:val="28"/>
        </w:rPr>
      </w:pPr>
      <w:r>
        <w:rPr>
          <w:rFonts w:ascii="PT Astra Serif" w:hAnsi="PT Astra Serif" w:cs="PT Astra Serif"/>
          <w:b/>
          <w:bCs/>
          <w:sz w:val="28"/>
          <w:szCs w:val="28"/>
        </w:rPr>
        <w:t>079 Министерство дорожного хозяйства Саратовской области</w:t>
      </w:r>
    </w:p>
    <w:p w:rsidR="00504C97" w:rsidRDefault="004D36C1" w:rsidP="00177CED">
      <w:pPr>
        <w:spacing w:line="266" w:lineRule="auto"/>
        <w:ind w:firstLine="720"/>
        <w:jc w:val="both"/>
        <w:rPr>
          <w:rFonts w:ascii="PT Astra Serif" w:hAnsi="PT Astra Serif" w:cs="PT Astra Serif"/>
          <w:sz w:val="28"/>
          <w:szCs w:val="28"/>
        </w:rPr>
      </w:pPr>
      <w:r>
        <w:rPr>
          <w:rFonts w:ascii="PT Astra Serif" w:hAnsi="PT Astra Serif" w:cs="PT Astra Serif"/>
          <w:sz w:val="28"/>
          <w:szCs w:val="28"/>
        </w:rPr>
        <w:lastRenderedPageBreak/>
        <w:t>Увеличилось на 1 - количество главных распорядителей бюджетных средств, на основании постановления Правительства Саратовской области</w:t>
      </w:r>
      <w:r>
        <w:rPr>
          <w:rFonts w:ascii="PT Astra Serif" w:hAnsi="PT Astra Serif" w:cs="PT Astra Serif"/>
          <w:sz w:val="28"/>
          <w:szCs w:val="28"/>
        </w:rPr>
        <w:br/>
      </w:r>
      <w:r>
        <w:rPr>
          <w:rFonts w:ascii="PT Astra Serif" w:hAnsi="PT Astra Serif" w:cs="PT Astra Serif"/>
          <w:color w:val="000000"/>
          <w:sz w:val="28"/>
          <w:szCs w:val="28"/>
        </w:rPr>
        <w:t>от 10 апреля 2024 года № 282-П «Вопросы Правительства Саратовской области» министерство транспорта и дорожного хозяйства области реорганизовано путем разделения его на министерство транспорта области и министерство дорожного хозяйства области (</w:t>
      </w:r>
      <w:r>
        <w:rPr>
          <w:rFonts w:ascii="PT Astra Serif" w:eastAsia="PT Astra Serif" w:hAnsi="PT Astra Serif" w:cs="PT Astra Serif"/>
          <w:color w:val="000000"/>
          <w:sz w:val="28"/>
          <w:szCs w:val="28"/>
          <w:shd w:val="clear" w:color="auto" w:fill="FFFFFF"/>
        </w:rPr>
        <w:t>ИНН 6452155466, ГРН и дата внесения записи в ЕГРЮЛ</w:t>
      </w:r>
      <w:r>
        <w:rPr>
          <w:rFonts w:ascii="PT Astra Serif" w:hAnsi="PT Astra Serif" w:cs="PT Astra Serif"/>
          <w:color w:val="000000"/>
          <w:sz w:val="28"/>
          <w:szCs w:val="28"/>
        </w:rPr>
        <w:t xml:space="preserve"> 1256400000185 15.01.2025 г.)</w:t>
      </w:r>
      <w:r>
        <w:rPr>
          <w:rFonts w:ascii="PT Astra Serif" w:hAnsi="PT Astra Serif" w:cs="PT Astra Serif"/>
          <w:sz w:val="28"/>
          <w:szCs w:val="28"/>
        </w:rPr>
        <w:t>.</w:t>
      </w:r>
    </w:p>
    <w:p w:rsidR="00504C97" w:rsidRDefault="004D36C1" w:rsidP="00177CED">
      <w:pPr>
        <w:spacing w:line="266" w:lineRule="auto"/>
        <w:ind w:firstLine="720"/>
        <w:jc w:val="both"/>
        <w:rPr>
          <w:rFonts w:ascii="PT Astra Serif" w:hAnsi="PT Astra Serif" w:cs="PT Astra Serif"/>
          <w:color w:val="000000"/>
        </w:rPr>
      </w:pPr>
      <w:r>
        <w:rPr>
          <w:rFonts w:ascii="PT Astra Serif" w:hAnsi="PT Astra Serif" w:cs="PT Astra Serif"/>
          <w:color w:val="000000"/>
          <w:sz w:val="28"/>
          <w:szCs w:val="28"/>
        </w:rPr>
        <w:t xml:space="preserve">Увеличилось на 2 - количество казенных учреждений, </w:t>
      </w:r>
      <w:r>
        <w:rPr>
          <w:rFonts w:ascii="PT Astra Serif" w:hAnsi="PT Astra Serif" w:cs="PT Astra Serif"/>
          <w:sz w:val="28"/>
          <w:szCs w:val="28"/>
        </w:rPr>
        <w:t xml:space="preserve">на основании постановления Правительства Саратовской области </w:t>
      </w:r>
      <w:r>
        <w:rPr>
          <w:rFonts w:ascii="PT Astra Serif" w:hAnsi="PT Astra Serif" w:cs="PT Astra Serif"/>
          <w:color w:val="000000"/>
          <w:sz w:val="28"/>
          <w:szCs w:val="28"/>
        </w:rPr>
        <w:t>от 10 апреля 2024 года</w:t>
      </w:r>
      <w:r>
        <w:rPr>
          <w:rFonts w:ascii="PT Astra Serif" w:hAnsi="PT Astra Serif" w:cs="PT Astra Serif"/>
          <w:color w:val="000000"/>
          <w:sz w:val="28"/>
          <w:szCs w:val="28"/>
        </w:rPr>
        <w:br/>
        <w:t>№ 282-П «Вопросы Правительства Саратовской области» функции и полномочия учредителя получены министерством дорожного хозяйства области от министерства транспорта и дорожного хозяйства области.</w:t>
      </w:r>
    </w:p>
    <w:p w:rsidR="00504C97" w:rsidRDefault="00504C97" w:rsidP="00177CED">
      <w:pPr>
        <w:spacing w:line="266" w:lineRule="auto"/>
        <w:jc w:val="center"/>
        <w:rPr>
          <w:color w:val="000000"/>
        </w:rPr>
      </w:pPr>
    </w:p>
    <w:p w:rsidR="00504C97" w:rsidRDefault="004D36C1" w:rsidP="00177CED">
      <w:pPr>
        <w:spacing w:line="266" w:lineRule="auto"/>
        <w:jc w:val="center"/>
        <w:rPr>
          <w:rFonts w:ascii="PT Astra Serif" w:eastAsia="PT Astra Serif" w:hAnsi="PT Astra Serif" w:cs="PT Astra Serif"/>
          <w:b/>
          <w:bCs/>
          <w:color w:val="000000"/>
          <w:sz w:val="28"/>
          <w:szCs w:val="28"/>
        </w:rPr>
      </w:pPr>
      <w:r>
        <w:rPr>
          <w:rFonts w:ascii="PT Astra Serif" w:eastAsia="PT Astra Serif" w:hAnsi="PT Astra Serif" w:cs="PT Astra Serif"/>
          <w:b/>
          <w:color w:val="000000"/>
          <w:sz w:val="28"/>
          <w:szCs w:val="28"/>
          <w:shd w:val="clear" w:color="auto" w:fill="FFFFFF"/>
        </w:rPr>
        <w:t>Раздел 2 «Результаты деятельности субъекта бюджетной отчетности»</w:t>
      </w:r>
    </w:p>
    <w:p w:rsidR="00504C97" w:rsidRDefault="00504C97" w:rsidP="00177CED">
      <w:pPr>
        <w:spacing w:line="266" w:lineRule="auto"/>
        <w:jc w:val="center"/>
        <w:rPr>
          <w:color w:val="000000"/>
        </w:rPr>
      </w:pP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В отчетном периоде работники исполнительных органов области обучались по дополнительным профессиональным программам повышения квалификации. На мероприятия по дополнительному профессиональному образованию государственных гражданских служащих области было запланировано 3 670,4 тыс. рублей. По состоянию на 1 января 2026 года исполнено 3 312,9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xml:space="preserve">Общая сумма основных средств на 1 января 2026 года по первоначальной стоимости составила 41 198 811,6 тыс. рублей, амортизация – 22 158 773,7 тыс. рублей, что составляет 54%, техническое состояние основных средств в целом можно считать удовлетворительным. Вместе с тем, имеется потребность в обновлении основных фондов. Основные средства на балансе главных распорядителей средств областного бюджета и казенных учреждений находятся на праве оперативного управления. Принимаются к учету по первоначальной стоимости, амортизация начисляется ежемесячно, согласно классификации основных средств, включаемых в амортизационные группы. </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Материальными запасами главные распорядители средств областного бюджета обеспечиваются своевременно. Поставка товаров, работ и услуг осуществляется путем заключения договоров, проведения аукционов в соответствии с действующим законодательством.</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Для улучшения состояния объектов основных средств осуществляется текущий ремонт, замена отдельных комплектующих. В целях обеспечения сохранности нефинансовых активов проводятся инвентаризации в порядке согласно действующему законодательству.</w:t>
      </w:r>
    </w:p>
    <w:p w:rsidR="00504C97" w:rsidRDefault="00504C97" w:rsidP="00177CED">
      <w:pPr>
        <w:spacing w:line="266" w:lineRule="auto"/>
        <w:ind w:firstLine="720"/>
        <w:jc w:val="center"/>
        <w:rPr>
          <w:rFonts w:ascii="PT Astra Serif" w:hAnsi="PT Astra Serif"/>
          <w:color w:val="000000"/>
          <w:sz w:val="28"/>
          <w:szCs w:val="28"/>
        </w:rPr>
      </w:pPr>
    </w:p>
    <w:p w:rsidR="00504C97" w:rsidRDefault="004D36C1" w:rsidP="00177CED">
      <w:pPr>
        <w:spacing w:line="266" w:lineRule="auto"/>
        <w:ind w:firstLine="720"/>
        <w:jc w:val="center"/>
        <w:rPr>
          <w:rFonts w:ascii="PT Astra Serif" w:hAnsi="PT Astra Serif"/>
          <w:color w:val="000000"/>
          <w:sz w:val="28"/>
          <w:szCs w:val="28"/>
        </w:rPr>
      </w:pPr>
      <w:r>
        <w:rPr>
          <w:rFonts w:ascii="PT Astra Serif" w:eastAsia="PT Astra Serif" w:hAnsi="PT Astra Serif" w:cs="PT Astra Serif"/>
          <w:b/>
          <w:color w:val="000000"/>
          <w:sz w:val="28"/>
          <w:szCs w:val="28"/>
          <w:shd w:val="clear" w:color="auto" w:fill="FFFFFF"/>
        </w:rPr>
        <w:lastRenderedPageBreak/>
        <w:t>Раздел 3 «Анализ отчета об исполнении бюджета субъектов бюджетной отчетности»</w:t>
      </w:r>
    </w:p>
    <w:p w:rsidR="00504C97" w:rsidRDefault="00504C97" w:rsidP="00177CED">
      <w:pPr>
        <w:spacing w:line="266" w:lineRule="auto"/>
        <w:ind w:firstLine="720"/>
        <w:jc w:val="center"/>
        <w:rPr>
          <w:rFonts w:ascii="PT Astra Serif" w:hAnsi="PT Astra Serif"/>
          <w:color w:val="000000"/>
          <w:sz w:val="28"/>
          <w:szCs w:val="28"/>
        </w:rPr>
      </w:pP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П</w:t>
      </w:r>
      <w:r>
        <w:rPr>
          <w:rFonts w:ascii="PT Astra Serif" w:eastAsia="PT Astra Serif" w:hAnsi="PT Astra Serif" w:cs="PT Astra Serif"/>
          <w:color w:val="000000"/>
          <w:sz w:val="28"/>
          <w:szCs w:val="28"/>
          <w:shd w:val="clear" w:color="auto" w:fill="FFFFFF"/>
        </w:rPr>
        <w:t>о итогам 2025 года объем налоговых и неналоговых доходов областного бюджета составил 125 821 310,6 тыс. рублей и сократился относительно</w:t>
      </w:r>
      <w:r w:rsidR="00177CED">
        <w:rPr>
          <w:rFonts w:ascii="PT Astra Serif" w:eastAsia="PT Astra Serif" w:hAnsi="PT Astra Serif" w:cs="PT Astra Serif"/>
          <w:color w:val="000000"/>
          <w:sz w:val="28"/>
          <w:szCs w:val="28"/>
          <w:shd w:val="clear" w:color="auto" w:fill="FFFFFF"/>
        </w:rPr>
        <w:t xml:space="preserve"> </w:t>
      </w:r>
      <w:r>
        <w:rPr>
          <w:rFonts w:ascii="PT Astra Serif" w:eastAsia="PT Astra Serif" w:hAnsi="PT Astra Serif" w:cs="PT Astra Serif"/>
          <w:color w:val="000000"/>
          <w:sz w:val="28"/>
          <w:szCs w:val="28"/>
          <w:shd w:val="clear" w:color="auto" w:fill="FFFFFF"/>
        </w:rPr>
        <w:t>2024 года на 7 183 726,1 тыс. рублей, или на 5,4%. Уточненные бюджетные назначения исполнены на 100,3%.</w:t>
      </w:r>
    </w:p>
    <w:p w:rsidR="00504C97" w:rsidRDefault="004D36C1" w:rsidP="00177CED">
      <w:pPr>
        <w:spacing w:line="266" w:lineRule="auto"/>
        <w:ind w:firstLine="720"/>
        <w:jc w:val="both"/>
        <w:rPr>
          <w:rFonts w:ascii="PT Astra Serif" w:hAnsi="PT Astra Serif" w:cs="PT Astra Serif"/>
          <w:sz w:val="28"/>
          <w:szCs w:val="28"/>
        </w:rPr>
      </w:pPr>
      <w:r>
        <w:rPr>
          <w:rFonts w:ascii="PT Astra Serif" w:hAnsi="PT Astra Serif" w:cs="PT Astra Serif"/>
          <w:sz w:val="28"/>
          <w:szCs w:val="28"/>
        </w:rPr>
        <w:t>Объем налога на прибыль организаций составил 31 755 125,6 тыс. рублей, за счет налога обеспечено 25,2% общего объема налоговых и неналоговых доходов бюджета, что на 7,1 процентных пункта ниже данного показателя за 2024 год (32,3%). Относительно факта за 2024 год поступления по налогу на прибыль организаций сократились на 11 200 578,5 тыс. рублей, или на 26,1%.</w:t>
      </w:r>
    </w:p>
    <w:p w:rsidR="00504C97" w:rsidRDefault="004D36C1" w:rsidP="00177CED">
      <w:pPr>
        <w:pBdr>
          <w:top w:val="none" w:sz="4" w:space="0" w:color="000000"/>
          <w:left w:val="none" w:sz="4" w:space="0" w:color="000000"/>
          <w:bottom w:val="none" w:sz="4" w:space="0" w:color="000000"/>
          <w:right w:val="none" w:sz="4" w:space="0" w:color="000000"/>
        </w:pBdr>
        <w:spacing w:line="266" w:lineRule="auto"/>
        <w:ind w:firstLine="720"/>
        <w:jc w:val="both"/>
        <w:rPr>
          <w:rFonts w:ascii="PT Astra Serif" w:hAnsi="PT Astra Serif" w:cs="PT Astra Serif"/>
          <w:sz w:val="28"/>
          <w:szCs w:val="28"/>
        </w:rPr>
      </w:pPr>
      <w:r>
        <w:rPr>
          <w:rFonts w:ascii="PT Astra Serif" w:hAnsi="PT Astra Serif" w:cs="PT Astra Serif"/>
          <w:sz w:val="28"/>
          <w:szCs w:val="28"/>
        </w:rPr>
        <w:t xml:space="preserve">Отставание сложилось по налогоплательщикам, осуществляющим деятельность в сфере строительства (крупным застройщикам) — на </w:t>
      </w:r>
      <w:r w:rsidR="00177CED">
        <w:rPr>
          <w:rFonts w:ascii="PT Astra Serif" w:hAnsi="PT Astra Serif" w:cs="PT Astra Serif"/>
          <w:sz w:val="28"/>
          <w:szCs w:val="28"/>
        </w:rPr>
        <w:br/>
      </w:r>
      <w:r>
        <w:rPr>
          <w:rFonts w:ascii="PT Astra Serif" w:hAnsi="PT Astra Serif" w:cs="PT Astra Serif"/>
          <w:sz w:val="28"/>
          <w:szCs w:val="28"/>
        </w:rPr>
        <w:t xml:space="preserve">8 329 044,9 тыс. рублей, в обрабатывающих производствах – на 2 182 965,6 тыс. рублей (или 17,8%), финансовой и страховой деятельности – на </w:t>
      </w:r>
      <w:r w:rsidR="00177CED">
        <w:rPr>
          <w:rFonts w:ascii="PT Astra Serif" w:hAnsi="PT Astra Serif" w:cs="PT Astra Serif"/>
          <w:sz w:val="28"/>
          <w:szCs w:val="28"/>
        </w:rPr>
        <w:br/>
      </w:r>
      <w:r>
        <w:rPr>
          <w:rFonts w:ascii="PT Astra Serif" w:hAnsi="PT Astra Serif" w:cs="PT Astra Serif"/>
          <w:sz w:val="28"/>
          <w:szCs w:val="28"/>
        </w:rPr>
        <w:t>1 180 826,4 тыс. рублей (или в 1,7 раза), торговле и ремонте автотранспортных средств – на 537 274,8 тыс. рублей (или 11,1%), по добывающим компаниям – на 437 689,1 тыс. рублей (или 25,3%). </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hAnsi="PT Astra Serif" w:cs="PT Astra Serif"/>
          <w:sz w:val="28"/>
          <w:szCs w:val="28"/>
        </w:rPr>
        <w:t xml:space="preserve">Вместе с тем выросли поступления в строительной отрасли на </w:t>
      </w:r>
      <w:r w:rsidR="00177CED">
        <w:rPr>
          <w:rFonts w:ascii="PT Astra Serif" w:hAnsi="PT Astra Serif" w:cs="PT Astra Serif"/>
          <w:sz w:val="28"/>
          <w:szCs w:val="28"/>
        </w:rPr>
        <w:br/>
      </w:r>
      <w:r>
        <w:rPr>
          <w:rFonts w:ascii="PT Astra Serif" w:hAnsi="PT Astra Serif" w:cs="PT Astra Serif"/>
          <w:sz w:val="28"/>
          <w:szCs w:val="28"/>
        </w:rPr>
        <w:t>831 870,7 тыс. рублей (или в 1,4 раза), электроэнергетике – на 660 057,0 тыс. рублей (или в 1,3 раза), в сфере транспортировки и хран</w:t>
      </w:r>
      <w:r w:rsidR="00177CED">
        <w:rPr>
          <w:rFonts w:ascii="PT Astra Serif" w:hAnsi="PT Astra Serif" w:cs="PT Astra Serif"/>
          <w:sz w:val="28"/>
          <w:szCs w:val="28"/>
        </w:rPr>
        <w:t xml:space="preserve">ения – на 262 938,1 тыс. рублей </w:t>
      </w:r>
      <w:r>
        <w:rPr>
          <w:rFonts w:ascii="PT Astra Serif" w:hAnsi="PT Astra Serif" w:cs="PT Astra Serif"/>
          <w:sz w:val="28"/>
          <w:szCs w:val="28"/>
        </w:rPr>
        <w:t xml:space="preserve">(в 1,4 раза), по операциям с недвижимым имуществом – на </w:t>
      </w:r>
      <w:r w:rsidR="00177CED">
        <w:rPr>
          <w:rFonts w:ascii="PT Astra Serif" w:hAnsi="PT Astra Serif" w:cs="PT Astra Serif"/>
          <w:sz w:val="28"/>
          <w:szCs w:val="28"/>
        </w:rPr>
        <w:br/>
        <w:t xml:space="preserve">230 792,9 </w:t>
      </w:r>
      <w:r>
        <w:rPr>
          <w:rFonts w:ascii="PT Astra Serif" w:hAnsi="PT Astra Serif" w:cs="PT Astra Serif"/>
          <w:sz w:val="28"/>
          <w:szCs w:val="28"/>
        </w:rPr>
        <w:t>тыс. рублей (в 1,5 раза), в области ин</w:t>
      </w:r>
      <w:r w:rsidR="00177CED">
        <w:rPr>
          <w:rFonts w:ascii="PT Astra Serif" w:hAnsi="PT Astra Serif" w:cs="PT Astra Serif"/>
          <w:sz w:val="28"/>
          <w:szCs w:val="28"/>
        </w:rPr>
        <w:t xml:space="preserve">формации и связи – на </w:t>
      </w:r>
      <w:r w:rsidR="000930F8">
        <w:rPr>
          <w:rFonts w:ascii="PT Astra Serif" w:hAnsi="PT Astra Serif" w:cs="PT Astra Serif"/>
          <w:sz w:val="28"/>
          <w:szCs w:val="28"/>
        </w:rPr>
        <w:br/>
      </w:r>
      <w:r w:rsidR="00177CED">
        <w:rPr>
          <w:rFonts w:ascii="PT Astra Serif" w:hAnsi="PT Astra Serif" w:cs="PT Astra Serif"/>
          <w:sz w:val="28"/>
          <w:szCs w:val="28"/>
        </w:rPr>
        <w:t xml:space="preserve">169 830,0 </w:t>
      </w:r>
      <w:r>
        <w:rPr>
          <w:rFonts w:ascii="PT Astra Serif" w:hAnsi="PT Astra Serif" w:cs="PT Astra Serif"/>
          <w:sz w:val="28"/>
          <w:szCs w:val="28"/>
        </w:rPr>
        <w:t>тыс. рублей (в 1,5 раза).</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 xml:space="preserve">По налогу на доходы физических лиц поступление составило </w:t>
      </w:r>
      <w:r w:rsidR="00177CED">
        <w:rPr>
          <w:rFonts w:ascii="PT Astra Serif" w:eastAsia="PT Astra Serif" w:hAnsi="PT Astra Serif" w:cs="PT Astra Serif"/>
          <w:color w:val="000000"/>
          <w:sz w:val="28"/>
          <w:szCs w:val="28"/>
        </w:rPr>
        <w:br/>
      </w:r>
      <w:r>
        <w:rPr>
          <w:rFonts w:ascii="PT Astra Serif" w:eastAsia="PT Astra Serif" w:hAnsi="PT Astra Serif" w:cs="PT Astra Serif"/>
          <w:color w:val="000000"/>
          <w:sz w:val="28"/>
          <w:szCs w:val="28"/>
        </w:rPr>
        <w:t>50 208 914,4 тыс. рублей, увеличение относительно 2024 года на 5 538 378,3 тыс. рублей, или на 12,4%. Структурная доля налога в общем объеме налоговых и неналоговых доходов бюджета составила 39,9%, на 6,3 процентных пункта выше данного показателя за 2024 год (33,6%).</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Доходы от акцизов составили 12 879 028,7 тыс. рублей, со снижением относительно 2024 года на 2 296 185,9 тыс. рублей, или 15,1%, в том числе поступления по акцизам на нефтепродукты сократились на 2 568 813,8</w:t>
      </w:r>
      <w:r>
        <w:rPr>
          <w:rFonts w:ascii="PT Astra Serif" w:eastAsia="PT Astra Serif" w:hAnsi="PT Astra Serif" w:cs="PT Astra Serif"/>
          <w:color w:val="000000"/>
          <w:sz w:val="28"/>
          <w:szCs w:val="28"/>
        </w:rPr>
        <w:br/>
        <w:t xml:space="preserve">тыс. рублей, или на 20,7% в связи с </w:t>
      </w:r>
      <w:r>
        <w:rPr>
          <w:rFonts w:ascii="PT Astra Serif" w:hAnsi="PT Astra Serif" w:cs="PT Astra Serif"/>
          <w:sz w:val="28"/>
          <w:szCs w:val="28"/>
        </w:rPr>
        <w:t>уменьшением с 1 января 2025 года норматива отчислений, на алкогольную продукцию, наоборот, возросли на</w:t>
      </w:r>
      <w:r>
        <w:rPr>
          <w:rFonts w:ascii="PT Astra Serif" w:hAnsi="PT Astra Serif" w:cs="PT Astra Serif"/>
          <w:sz w:val="28"/>
          <w:szCs w:val="28"/>
        </w:rPr>
        <w:br/>
        <w:t xml:space="preserve">314 457,8 </w:t>
      </w:r>
      <w:r>
        <w:rPr>
          <w:rFonts w:ascii="PT Astra Serif" w:eastAsia="PT Astra Serif" w:hAnsi="PT Astra Serif" w:cs="PT Astra Serif"/>
          <w:color w:val="000000"/>
          <w:sz w:val="28"/>
          <w:szCs w:val="28"/>
        </w:rPr>
        <w:t>тыс. рублей, или 11,9%. Структурная доля акцизов в общем объеме налоговых  неналоговых доходов бюджета по итогам 2025 года сократилась на 1,2 процентных пункта с 11,4% до 10,2%.</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lastRenderedPageBreak/>
        <w:t>Поступление по налогам на совокупный доход составило 13 242 718,3 тыс. рублей, на 806 792,1 тыс. рублей, или 6,5%, выше уровня 2024 года. Возрос вклад доходов, поступающих от применения специальных налоговых режимов по отношению к 2024 году. По упрощенной системе налогообложения рост на 4,1%, налогу на профессиональный доход – в 1,6 раза.</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 xml:space="preserve">Поступление по налогу на имущество организаций составило </w:t>
      </w:r>
      <w:r w:rsidR="00177CED">
        <w:rPr>
          <w:rFonts w:ascii="PT Astra Serif" w:eastAsia="PT Astra Serif" w:hAnsi="PT Astra Serif" w:cs="PT Astra Serif"/>
          <w:color w:val="000000"/>
          <w:sz w:val="28"/>
          <w:szCs w:val="28"/>
        </w:rPr>
        <w:br/>
      </w:r>
      <w:r>
        <w:rPr>
          <w:rFonts w:ascii="PT Astra Serif" w:eastAsia="PT Astra Serif" w:hAnsi="PT Astra Serif" w:cs="PT Astra Serif"/>
          <w:color w:val="000000"/>
          <w:sz w:val="28"/>
          <w:szCs w:val="28"/>
        </w:rPr>
        <w:t>11 105 710,0 тыс. рублей, что на 263 850,6 тыс. рублей, или 2,4% выше уровня 2024 года. Вклад налога в общий объем налоговых и неналоговых доходов составил 8,8%, что на 0,6 процентных пункта выше данного показателя за 2024 год.</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С положительной динамикой к 2024 году сложилось поступление налога на добычу полезных ископаемых, рост составил 49 472,4 тыс. рублей, или 21,1%, поступление налога по итогам 2025 года составило 284 283,0</w:t>
      </w:r>
      <w:r>
        <w:rPr>
          <w:rFonts w:ascii="PT Astra Serif" w:eastAsia="PT Astra Serif" w:hAnsi="PT Astra Serif" w:cs="PT Astra Serif"/>
          <w:color w:val="000000"/>
          <w:sz w:val="28"/>
          <w:szCs w:val="28"/>
        </w:rPr>
        <w:br/>
        <w:t>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Объем неналоговых доходов в целом составил 5 994 303,4 тыс. рублей, что на 424 957,0 тыс. рублей, или на 6,6%, ниже уровня, 2024 года, в том числе по доходам от оказания платных услуг и компенсациям затрат государс</w:t>
      </w:r>
      <w:r w:rsidR="00177CED">
        <w:rPr>
          <w:rFonts w:ascii="PT Astra Serif" w:eastAsia="PT Astra Serif" w:hAnsi="PT Astra Serif" w:cs="PT Astra Serif"/>
          <w:color w:val="000000"/>
          <w:sz w:val="28"/>
          <w:szCs w:val="28"/>
        </w:rPr>
        <w:t xml:space="preserve">тва - </w:t>
      </w:r>
      <w:r>
        <w:rPr>
          <w:rFonts w:ascii="PT Astra Serif" w:eastAsia="PT Astra Serif" w:hAnsi="PT Astra Serif" w:cs="PT Astra Serif"/>
          <w:color w:val="000000"/>
          <w:sz w:val="28"/>
          <w:szCs w:val="28"/>
        </w:rPr>
        <w:t>в 5,5 раза, по доходам от продажи материал</w:t>
      </w:r>
      <w:r w:rsidR="00177CED">
        <w:rPr>
          <w:rFonts w:ascii="PT Astra Serif" w:eastAsia="PT Astra Serif" w:hAnsi="PT Astra Serif" w:cs="PT Astra Serif"/>
          <w:color w:val="000000"/>
          <w:sz w:val="28"/>
          <w:szCs w:val="28"/>
        </w:rPr>
        <w:t xml:space="preserve">ьных и нематериальных активов – </w:t>
      </w:r>
      <w:r>
        <w:rPr>
          <w:rFonts w:ascii="PT Astra Serif" w:eastAsia="PT Astra Serif" w:hAnsi="PT Astra Serif" w:cs="PT Astra Serif"/>
          <w:color w:val="000000"/>
          <w:sz w:val="28"/>
          <w:szCs w:val="28"/>
        </w:rPr>
        <w:t xml:space="preserve">в 3,4 раза, по платежам при пользовании </w:t>
      </w:r>
      <w:r w:rsidR="00177CED">
        <w:rPr>
          <w:rFonts w:ascii="PT Astra Serif" w:eastAsia="PT Astra Serif" w:hAnsi="PT Astra Serif" w:cs="PT Astra Serif"/>
          <w:color w:val="000000"/>
          <w:sz w:val="28"/>
          <w:szCs w:val="28"/>
        </w:rPr>
        <w:t xml:space="preserve">природными ресурсами – на 3,6%. </w:t>
      </w:r>
      <w:r>
        <w:rPr>
          <w:rFonts w:ascii="PT Astra Serif" w:eastAsia="PT Astra Serif" w:hAnsi="PT Astra Serif" w:cs="PT Astra Serif"/>
          <w:color w:val="000000"/>
          <w:sz w:val="28"/>
          <w:szCs w:val="28"/>
        </w:rPr>
        <w:t>В то же время выросли поступления по прочим неналоговым доходам в 1,6 раза, по доходам от штрафов, санкций, возмещения ущерба на 27,2%, доходам от административных платежей и сборов на 1,7%.</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Доходы от использования имущества, находящегося в государственной и муниципальной собственности, составили по итогам 2025 года 2 103 316,0</w:t>
      </w:r>
      <w:r>
        <w:rPr>
          <w:rFonts w:ascii="PT Astra Serif" w:eastAsia="PT Astra Serif" w:hAnsi="PT Astra Serif" w:cs="PT Astra Serif"/>
          <w:color w:val="000000"/>
          <w:sz w:val="28"/>
          <w:szCs w:val="28"/>
        </w:rPr>
        <w:br/>
        <w:t>тыс. рублей, увеличение относительно 2024 года на 614 162,3 тыс. рублей, или в 1,4 раза, в том числе доходы от операций по управлению остатками средств на едином казначейском счете возросли на 506</w:t>
      </w:r>
      <w:r w:rsidR="00177CED">
        <w:rPr>
          <w:rFonts w:ascii="PT Astra Serif" w:eastAsia="PT Astra Serif" w:hAnsi="PT Astra Serif" w:cs="PT Astra Serif"/>
          <w:color w:val="000000"/>
          <w:sz w:val="28"/>
          <w:szCs w:val="28"/>
        </w:rPr>
        <w:t xml:space="preserve"> 605,6 тыс. рублей, более чем в </w:t>
      </w:r>
      <w:r>
        <w:rPr>
          <w:rFonts w:ascii="PT Astra Serif" w:eastAsia="PT Astra Serif" w:hAnsi="PT Astra Serif" w:cs="PT Astra Serif"/>
          <w:color w:val="000000"/>
          <w:sz w:val="28"/>
          <w:szCs w:val="28"/>
        </w:rPr>
        <w:t>1,3 раза, составив по итогам года 1 855 086,4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Безвозмездные поступления от других бюджетов бюджетной системы Российской Федерации за 2025 год составили в сумме 60 990 388,1 тыс. рублей, что выше уровня 2024 года на 3 724 549,9 тыс. рублей, или на 6,5%, в том числе из федерального бюджета поступило 58 114 147,5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Доходы от возврата в областной бюджет остатков субсидий, субвенций и иных межбюджетных трансфертов, имеющих целевое назначение, прошлых лет составили 421 331 ,3 тыс. рублей, в бюджеты различных уровней возвращены остатки субсидий, субвенций и иных межбюджетных трансфертов, имеющих целевое назначение, не использованные на 1 января 2025 года (с учетом «возврата возвратов»), в сумме 305 285,8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lastRenderedPageBreak/>
        <w:t xml:space="preserve">Объем кассовых расходов областного бюджета составил 202 105 663,5 тыс. рублей (97,2% от уточненных годовых бюджетных назначений), с ростом к факту 2024 года на 16 878 878,5 тыс. рублей, или на 9,1%. </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Бюджетные назначения областного бюджета были увеличены относительно их первоначального значения на 29 959 982,6 тыс. рублей</w:t>
      </w:r>
      <w:r>
        <w:rPr>
          <w:rFonts w:ascii="PT Astra Serif" w:eastAsia="PT Astra Serif" w:hAnsi="PT Astra Serif" w:cs="PT Astra Serif"/>
          <w:color w:val="000000"/>
          <w:sz w:val="28"/>
          <w:szCs w:val="28"/>
        </w:rPr>
        <w:br/>
        <w:t>(с 177 890 078,8 тыс. рублей до 207 850 061,4 тыс. рублей), или на 16,8%, из которых 11 962 920,4 тыс. рублей, или 39,9% обеспечено за счет собственных средств областного бюджета.</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За счет целевых средств, поступивших (планируемых к поступлению) в областной бюджет в течение года из федерального бюджета, от публично-правовой компании «Фонд развития территорий», других бюджетов бюджетной системы в соответствии с заключенными соглашениями, бюджетные назначения увеличены на 17 997 062,2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 xml:space="preserve">На исполнение публичных нормативных обязательств в 2025 году направлено 20 359 675,3 тыс. рублей (99,8% от утвержденных годовых бюджетных назначений). По состоянию на 1 января 2026 года просроченной кредиторской задолженности по публичным нормативным обязательствам не имеется. </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Исполнение по расходным обязательствам областного бюджета, финансовое обеспечение которых осуществлялось за счет целевых средств, составило 45 812 354,4 тыс. рублей, или 22,7% общих расходов.              </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Единая субвенция израсходована в 2025 году в общей сумме</w:t>
      </w:r>
      <w:r>
        <w:rPr>
          <w:rFonts w:ascii="PT Astra Serif" w:eastAsia="PT Astra Serif" w:hAnsi="PT Astra Serif" w:cs="PT Astra Serif"/>
          <w:color w:val="000000"/>
          <w:sz w:val="28"/>
          <w:szCs w:val="28"/>
        </w:rPr>
        <w:br/>
        <w:t>209 615,6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Расходы на содержание органов государственной власти области (без учета расходов на исполнение переданных полномочий Российской Федерации) за 2025 год исполнены в сумме 3 216 528,2 тыс. рублей, или 2,2% от доходов консолидированного бюджета области, учитываемых для расчета норматива (при нормативе 5,2%, утвержденном распоряжением Правительства Российской Федерации от 11 декабря 2024 года № 3684-р). Расходы на содержание иных государственных органов исполнены в сумме 258 063,8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Расходы на исполнение переданных полномочий Российской Федерации за счет средств федерального бюджета (в части содержания органов государственной власти области) составили 246 733,5 тыс. рублей.</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Межбюджетные трансферты местным бюджетам перечислены в общей сумме 74 297 694,1 тыс. рублей (99,3% от уточненных годовых бюджетных назначений), в том числе за счет собственных средств областного бюджета –</w:t>
      </w:r>
      <w:r>
        <w:rPr>
          <w:rFonts w:ascii="PT Astra Serif" w:eastAsia="PT Astra Serif" w:hAnsi="PT Astra Serif" w:cs="PT Astra Serif"/>
          <w:color w:val="000000"/>
          <w:sz w:val="28"/>
          <w:szCs w:val="28"/>
        </w:rPr>
        <w:br/>
        <w:t xml:space="preserve">50 734 182,4 тыс. рублей, за счет соответствующих межбюджетных трансфертов из федерального бюджета (включая дотации) – 20 107 547,8 тыс. рублей, за счет поступлений от публично-правовой компании «Фонд </w:t>
      </w:r>
      <w:r>
        <w:rPr>
          <w:rFonts w:ascii="PT Astra Serif" w:eastAsia="PT Astra Serif" w:hAnsi="PT Astra Serif" w:cs="PT Astra Serif"/>
          <w:color w:val="000000"/>
          <w:sz w:val="28"/>
          <w:szCs w:val="28"/>
        </w:rPr>
        <w:lastRenderedPageBreak/>
        <w:t>развития территорий» – 797 257,2 тыс. рублей, за счет средств друг</w:t>
      </w:r>
      <w:r w:rsidR="00177CED">
        <w:rPr>
          <w:rFonts w:ascii="PT Astra Serif" w:eastAsia="PT Astra Serif" w:hAnsi="PT Astra Serif" w:cs="PT Astra Serif"/>
          <w:color w:val="000000"/>
          <w:sz w:val="28"/>
          <w:szCs w:val="28"/>
        </w:rPr>
        <w:t xml:space="preserve">их бюджетов бюджетной системы – </w:t>
      </w:r>
      <w:r>
        <w:rPr>
          <w:rFonts w:ascii="PT Astra Serif" w:eastAsia="PT Astra Serif" w:hAnsi="PT Astra Serif" w:cs="PT Astra Serif"/>
          <w:color w:val="000000"/>
          <w:sz w:val="28"/>
          <w:szCs w:val="28"/>
        </w:rPr>
        <w:t>2 206 342,7 тыс. рублей, за счет казначейского инфраструктурного кредита из федерального бюджета бюджету Саратовской области на финансовое обеспечение реализации инфраструктурных проектов - 452 364,0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 xml:space="preserve">В 2025 году межбюджетные трансферты из областного бюджета предоставлялись в следующих формах: </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 xml:space="preserve">субвенции – 30 887 803,9 тыс. рублей (41,6% общего объема межбюджетных трансфертов); </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субсидии – 24 146 674,0 тыс. рублей (32,5%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иные межбюджетные трансферты – 13 425 890,9 тыс. рублей (18,1%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дотации – 5 837 325,3 тыс. рублей (7,8%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Значительную долю в объеме межбюджетных трансфертов местным бюджетам составляют: </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субвенция на финансовое обеспечение образовательной деятельности муниципальных общеобразовательных учреждений – 21 124 786,1 тыс. рублей (28,4%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субвенция на финансовое обеспечение образовательной деятельности муниципальных дошкольных образовательных организаций – 6 942 657,4</w:t>
      </w:r>
      <w:r>
        <w:rPr>
          <w:rFonts w:ascii="PT Astra Serif" w:eastAsia="PT Astra Serif" w:hAnsi="PT Astra Serif" w:cs="PT Astra Serif"/>
          <w:color w:val="000000"/>
          <w:sz w:val="28"/>
          <w:szCs w:val="28"/>
          <w:shd w:val="clear" w:color="auto" w:fill="FFFFFF"/>
        </w:rPr>
        <w:br/>
        <w:t>тыс. рублей (9,3%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дотация на выравнивание бюджетной обеспеченности муниципальных районов (муниципальных округов, городских округов) области – 4 567 738,3 тыс. рублей (6,1%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субсидия на реализацию мероприятий по обновлению общественного транспорта – 2 840 816,3 тыс. рублей (3,8%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субсидия на обеспечение сохранения достигнутых показателей повышения оплаты труда отдельных категорий работников бюджетной сферы – 2 786 553,8 тыс. рублей (3,7% от общего объема межбюджетных трансфертов);</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shd w:val="clear" w:color="auto" w:fill="FFFFFF"/>
        </w:rPr>
        <w:t>субсидия на реализацию мероприятий по благоустройству общественных и дворовых территорий в г. Саратове и г. Энгельсе Саратовской области за счет средств резервного фонда Правительства Российской Федерации – 2 323 232,3 тыс. рублей (3,1% от общего объема межбюджетных трансфертов);</w:t>
      </w:r>
    </w:p>
    <w:p w:rsidR="00504C97" w:rsidRDefault="004D36C1" w:rsidP="00177CED">
      <w:pPr>
        <w:spacing w:line="266" w:lineRule="auto"/>
        <w:ind w:firstLine="720"/>
        <w:jc w:val="both"/>
        <w:rPr>
          <w:rFonts w:ascii="PT Astra Serif" w:eastAsia="PT Astra Serif" w:hAnsi="PT Astra Serif" w:cs="PT Astra Serif"/>
          <w:color w:val="000000"/>
          <w:sz w:val="28"/>
          <w:szCs w:val="28"/>
          <w:shd w:val="clear" w:color="auto" w:fill="FFFFFF"/>
        </w:rPr>
      </w:pPr>
      <w:r>
        <w:rPr>
          <w:rFonts w:ascii="PT Astra Serif" w:eastAsia="PT Astra Serif" w:hAnsi="PT Astra Serif" w:cs="PT Astra Serif"/>
          <w:color w:val="000000"/>
          <w:sz w:val="28"/>
          <w:szCs w:val="28"/>
          <w:shd w:val="clear" w:color="auto" w:fill="FFFFFF"/>
        </w:rPr>
        <w:lastRenderedPageBreak/>
        <w:t>иной межбюджетный трансферт на реализацию мероприятий по благоустройству территорий – 2 299 994,4 тыс. рублей (3,1%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  1 569 387,4 тыс. рублей (2,1% от общего объема межбюджетных трансфертов);</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shd w:val="clear" w:color="auto" w:fill="FFFFFF"/>
        </w:rPr>
        <w:t>субсидия на реализацию мероприятий по обновлению общественного транспорта за счет средств резервного фонда Правительства Российской Федерации –  1 394 736,8 тыс. рублей (1,9%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субсидия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 1 363 761,9 тыс. рублей (1,8%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xml:space="preserve">субсидия на государственную поддержку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г. Саратове Саратовской области) – </w:t>
      </w:r>
      <w:r w:rsidR="00177CED">
        <w:rPr>
          <w:rFonts w:ascii="PT Astra Serif" w:eastAsia="PT Astra Serif" w:hAnsi="PT Astra Serif" w:cs="PT Astra Serif"/>
          <w:color w:val="000000"/>
          <w:sz w:val="28"/>
          <w:szCs w:val="28"/>
          <w:shd w:val="clear" w:color="auto" w:fill="FFFFFF"/>
        </w:rPr>
        <w:br/>
      </w:r>
      <w:r>
        <w:rPr>
          <w:rFonts w:ascii="PT Astra Serif" w:eastAsia="PT Astra Serif" w:hAnsi="PT Astra Serif" w:cs="PT Astra Serif"/>
          <w:color w:val="000000"/>
          <w:sz w:val="28"/>
          <w:szCs w:val="28"/>
          <w:shd w:val="clear" w:color="auto" w:fill="FFFFFF"/>
        </w:rPr>
        <w:t>1 286 614,8 тыс. рублей (1,7%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дотация на поддержку мер по обеспечению сбалансированности местных бюджетов –  1 219 402,0 тыс. рублей (1,6%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субсидия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 1 109 186,4 тыс. рублей (1,5% от общего объема межбюджетных трансфертов);</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shd w:val="clear" w:color="auto" w:fill="FFFFFF"/>
        </w:rPr>
        <w:t>субсидия на реализацию мероприятий по модернизации коммунальной инфраструктуры – 1 076 485,7 тыс. рублей (1,4%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xml:space="preserve">субсидия на обеспечение комплексного развития сельских территорий (создание, реконструкция (модернизация), капитальный ремонт объектов </w:t>
      </w:r>
      <w:r>
        <w:rPr>
          <w:rFonts w:ascii="PT Astra Serif" w:eastAsia="PT Astra Serif" w:hAnsi="PT Astra Serif" w:cs="PT Astra Serif"/>
          <w:color w:val="000000"/>
          <w:sz w:val="28"/>
          <w:szCs w:val="28"/>
          <w:shd w:val="clear" w:color="auto" w:fill="FFFFFF"/>
        </w:rPr>
        <w:lastRenderedPageBreak/>
        <w:t>социальной и культурной сферы) – 1 068 836,8 тыс. рублей (1,4% от общего объема межбюджетных трансфертов);</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shd w:val="clear" w:color="auto" w:fill="FFFFFF"/>
        </w:rPr>
        <w:t>субсидия на осуществление дорожной деятельности в отношении автомобильных дорог общего пользования местного значения Саратовской агломерации – 1 045 994,2 тыс. рублей (1,4%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иной межбюджетный трансферт на 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 – 1 035 267,4 тыс. рублей (1,4%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субсидия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 – 1 020 408,2 тыс. рублей (1,4% от общего объема межбюджетных трансфертов).</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 xml:space="preserve">За счет бюджетных ассигнований областного дорожного фонда израсходовано 16 918 353,0 тыс. рублей (97,7% годовых бюджетных назначений), что на 11,2% меньше, чем в 2024 году (факт за 2024 год составлял 19 044 137,8 тыс. рублей). </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Расходы на реализацию государственных программ Саратовской области</w:t>
      </w:r>
      <w:r>
        <w:rPr>
          <w:rFonts w:ascii="PT Astra Serif" w:eastAsia="PT Astra Serif" w:hAnsi="PT Astra Serif" w:cs="PT Astra Serif"/>
          <w:b/>
          <w:color w:val="000000"/>
          <w:sz w:val="28"/>
          <w:szCs w:val="28"/>
        </w:rPr>
        <w:t xml:space="preserve"> </w:t>
      </w:r>
      <w:r>
        <w:rPr>
          <w:rFonts w:ascii="PT Astra Serif" w:eastAsia="PT Astra Serif" w:hAnsi="PT Astra Serif" w:cs="PT Astra Serif"/>
          <w:color w:val="000000"/>
          <w:sz w:val="28"/>
          <w:szCs w:val="28"/>
        </w:rPr>
        <w:t>составили в 2025 году 180 174 033,1 тыс. рублей (97,6% от уточненных годовых бюджетных назначений), или 89,2% от общих расходов областного бюджета.</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 xml:space="preserve">По итогам 2025 года областной бюджет исполнен с превышением расходов над доходами в размере 14 282 038,9 тыс. рублей при плановом дефиците 20 037 085,5 тыс. рублей. </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 xml:space="preserve">Остатки средств на едином счете областного бюджета по состоянию на </w:t>
      </w:r>
      <w:r>
        <w:rPr>
          <w:rFonts w:ascii="PT Astra Serif" w:eastAsia="PT Astra Serif" w:hAnsi="PT Astra Serif" w:cs="PT Astra Serif"/>
          <w:color w:val="000000"/>
          <w:sz w:val="28"/>
          <w:szCs w:val="28"/>
        </w:rPr>
        <w:br/>
        <w:t>1 января 2026 года составили 6 502 560,2 тыс. рублей, из них остатки средств, пост</w:t>
      </w:r>
      <w:r w:rsidR="000930F8">
        <w:rPr>
          <w:rFonts w:ascii="PT Astra Serif" w:eastAsia="PT Astra Serif" w:hAnsi="PT Astra Serif" w:cs="PT Astra Serif"/>
          <w:color w:val="000000"/>
          <w:sz w:val="28"/>
          <w:szCs w:val="28"/>
        </w:rPr>
        <w:t>упивших из федерального бюджета</w:t>
      </w:r>
      <w:r>
        <w:rPr>
          <w:rFonts w:ascii="PT Astra Serif" w:eastAsia="PT Astra Serif" w:hAnsi="PT Astra Serif" w:cs="PT Astra Serif"/>
          <w:color w:val="000000"/>
          <w:sz w:val="28"/>
          <w:szCs w:val="28"/>
        </w:rPr>
        <w:t xml:space="preserve"> – 3 350 183,5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Остатки по целевым федеральным средствам сложились по следующим межбюджетным трансфертам:</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субсидии на реализацию мероприятий по модернизации школьных систем образования - 6,4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субсидии на оказание государственной социальной помощи на основании социального контракта отдельным категориям граждан - 14,5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целевые межбюджетные трансферты прошлых лет, полученные из федерального бюджета -  2 233,5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lastRenderedPageBreak/>
        <w:t xml:space="preserve">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000930F8">
        <w:rPr>
          <w:rFonts w:ascii="PT Astra Serif" w:eastAsia="PT Astra Serif" w:hAnsi="PT Astra Serif" w:cs="PT Astra Serif"/>
          <w:color w:val="000000"/>
          <w:sz w:val="28"/>
          <w:szCs w:val="28"/>
        </w:rPr>
        <w:t>«</w:t>
      </w:r>
      <w:r>
        <w:rPr>
          <w:rFonts w:ascii="PT Astra Serif" w:eastAsia="PT Astra Serif" w:hAnsi="PT Astra Serif" w:cs="PT Astra Serif"/>
          <w:color w:val="000000"/>
          <w:sz w:val="28"/>
          <w:szCs w:val="28"/>
        </w:rPr>
        <w:t>Сириус</w:t>
      </w:r>
      <w:r w:rsidR="000930F8">
        <w:rPr>
          <w:rFonts w:ascii="PT Astra Serif" w:eastAsia="PT Astra Serif" w:hAnsi="PT Astra Serif" w:cs="PT Astra Serif"/>
          <w:color w:val="000000"/>
          <w:sz w:val="28"/>
          <w:szCs w:val="28"/>
        </w:rPr>
        <w:t>»</w:t>
      </w:r>
      <w:r>
        <w:rPr>
          <w:rFonts w:ascii="PT Astra Serif" w:eastAsia="PT Astra Serif" w:hAnsi="PT Astra Serif" w:cs="PT Astra Serif"/>
          <w:color w:val="000000"/>
          <w:sz w:val="28"/>
          <w:szCs w:val="28"/>
        </w:rPr>
        <w:t>, муниципальных общеобразовательных организаций и профессиональных образовательных организаций - 0,5 тыс. рублей;</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 xml:space="preserve"> субсидии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- 10,4 тыс. рублей;</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субвенции на оплату жилищно-коммунальных услуг отдельным категориям граждан - 8,3 тыс. рублей;</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субвенции на социальные выплаты безработным гражданам и иным категориям граждан в соответствии с законодательством о занятости населения - 14,7 тыс. рублей;</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субсидии на оснащение предметных кабинетов общеобразовательных организаций оборудованием, средствами обучения и воспитания -</w:t>
      </w:r>
      <w:r>
        <w:rPr>
          <w:rFonts w:ascii="PT Astra Serif" w:eastAsia="PT Astra Serif" w:hAnsi="PT Astra Serif" w:cs="PT Astra Serif"/>
          <w:color w:val="000000"/>
          <w:sz w:val="28"/>
          <w:szCs w:val="28"/>
        </w:rPr>
        <w:br/>
        <w:t>1,8 тыс. рублей;</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достижение показателей деятельности - 1 188,0 тыс. рублей;</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межбюджетные трансферты на выполнение работ по благоустройству дворовых территорий муниципальных образований Саратовской области -</w:t>
      </w:r>
      <w:r>
        <w:rPr>
          <w:rFonts w:ascii="PT Astra Serif" w:eastAsia="PT Astra Serif" w:hAnsi="PT Astra Serif" w:cs="PT Astra Serif"/>
          <w:color w:val="000000"/>
          <w:sz w:val="28"/>
          <w:szCs w:val="28"/>
        </w:rPr>
        <w:br/>
        <w:t>5,7 тыс. рублей;</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- 1 320 321,7 тыс. рублей;</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целевые межбюджетные трансферты прошлых лет, полученные из федерального бюджета -  28 262,3 тыс. рублей;</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обеспечение социально-значимых мероприятий консолидированного бюджета Саратовской области - 1 998 115,7 тыс. рублей.</w:t>
      </w:r>
    </w:p>
    <w:p w:rsidR="00504C97" w:rsidRDefault="004D36C1" w:rsidP="00177CED">
      <w:pPr>
        <w:spacing w:line="266"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Пунктом 3 статьи 9 Закона Саратовской области от 11 декабря 2024 года № 158-ЗСО «Об областном бюджете на 2025 год и на плановый период 2026 и 2027 годов» установлено, что в соотве</w:t>
      </w:r>
      <w:r w:rsidR="00177CED">
        <w:rPr>
          <w:rFonts w:ascii="PT Astra Serif" w:eastAsia="PT Astra Serif" w:hAnsi="PT Astra Serif" w:cs="PT Astra Serif"/>
          <w:color w:val="000000"/>
          <w:sz w:val="28"/>
          <w:szCs w:val="28"/>
        </w:rPr>
        <w:t xml:space="preserve">тствии с Федеральным законом от </w:t>
      </w:r>
      <w:r>
        <w:rPr>
          <w:rFonts w:ascii="PT Astra Serif" w:eastAsia="PT Astra Serif" w:hAnsi="PT Astra Serif" w:cs="PT Astra Serif"/>
          <w:color w:val="000000"/>
          <w:sz w:val="28"/>
          <w:szCs w:val="28"/>
        </w:rPr>
        <w:t xml:space="preserve">30 ноября 2024 года № 419-ФЗ «О федеральном бюджете на 2025 год и на плановый период 2026 и 2027 годов»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в местные бюджеты в форме субсидий, субвенций и иных межбюджетных трансфертов, имеющих целевое </w:t>
      </w:r>
      <w:r>
        <w:rPr>
          <w:rFonts w:ascii="PT Astra Serif" w:eastAsia="PT Astra Serif" w:hAnsi="PT Astra Serif" w:cs="PT Astra Serif"/>
          <w:color w:val="000000"/>
          <w:sz w:val="28"/>
          <w:szCs w:val="28"/>
        </w:rPr>
        <w:lastRenderedPageBreak/>
        <w:t>назначение, в пределах суммы, необходимой для оплаты денежных обязательств по расходам получателей средств местных бюджетов, источником финансового обеспечения которых являются данные межбюджетные трансферты, в порядке, установленном Федеральным казначейством.</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 xml:space="preserve">Таким правом в 2025 году воспользовались 16 главных распорядителей средств областного бюджета, что позволило обеспечить ликвидность единого счета областного бюджета на необходимом уровне. Информация о передаче полномочий Управлению Федерального казначейства по Саратовской области на основании пункта 3 статьи 9 Закона Саратовской области от </w:t>
      </w:r>
      <w:r w:rsidR="00177CED">
        <w:rPr>
          <w:rFonts w:ascii="PT Astra Serif" w:eastAsia="PT Astra Serif" w:hAnsi="PT Astra Serif" w:cs="PT Astra Serif"/>
          <w:color w:val="000000"/>
          <w:sz w:val="28"/>
          <w:szCs w:val="28"/>
        </w:rPr>
        <w:br/>
      </w:r>
      <w:r>
        <w:rPr>
          <w:rFonts w:ascii="PT Astra Serif" w:eastAsia="PT Astra Serif" w:hAnsi="PT Astra Serif" w:cs="PT Astra Serif"/>
          <w:color w:val="000000"/>
          <w:sz w:val="28"/>
          <w:szCs w:val="28"/>
        </w:rPr>
        <w:t>11 декабря 2024 года № 158-ЗСО «Об областном бюджете на 2025 год и на плановый период 2026 и 2027 годов» отражена в форме</w:t>
      </w:r>
      <w:r>
        <w:rPr>
          <w:rFonts w:ascii="PT Astra Serif" w:eastAsia="PT Astra Serif" w:hAnsi="PT Astra Serif" w:cs="PT Astra Serif"/>
          <w:color w:val="000000"/>
          <w:sz w:val="28"/>
          <w:szCs w:val="28"/>
          <w:shd w:val="clear" w:color="auto" w:fill="FFFFFF"/>
        </w:rPr>
        <w:t xml:space="preserve"> Сведения об исполнении текстовых статей закона (решения) о бюджете </w:t>
      </w:r>
      <w:hyperlink r:id="rId7" w:tooltip="consultantplus://offline/ref=6138EA7002C1004709DCBE45DD5232BD35A09BFD3E872DE614E7C1496A5B10936A98E94A8A4F33D579629E37D6A35FBB023D7659F20F1DF2A9oEM" w:history="1">
        <w:r>
          <w:rPr>
            <w:rStyle w:val="afb"/>
            <w:rFonts w:ascii="PT Astra Serif" w:eastAsia="PT Astra Serif" w:hAnsi="PT Astra Serif" w:cs="PT Astra Serif"/>
            <w:color w:val="000000"/>
            <w:sz w:val="28"/>
            <w:szCs w:val="28"/>
            <w:u w:val="none"/>
            <w:shd w:val="clear" w:color="auto" w:fill="FFFFFF"/>
          </w:rPr>
          <w:t>Таблица № 3</w:t>
        </w:r>
      </w:hyperlink>
      <w:r>
        <w:rPr>
          <w:rFonts w:ascii="PT Astra Serif" w:eastAsia="PT Astra Serif" w:hAnsi="PT Astra Serif" w:cs="PT Astra Serif"/>
          <w:color w:val="000000"/>
          <w:sz w:val="28"/>
          <w:szCs w:val="28"/>
          <w:shd w:val="clear" w:color="auto" w:fill="FFFFFF"/>
        </w:rPr>
        <w:t xml:space="preserve"> главных распорядителей средств областного бюджета.</w:t>
      </w:r>
      <w:bookmarkStart w:id="0" w:name="undefined"/>
      <w:bookmarkEnd w:id="0"/>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rPr>
        <w:t>Перечень межбюджетных трансфертов, предоставляемых в 2025 году из  областного бюджета в местные бюджеты, на которые не распространяются положения части 3 статьи 9 Закона Саратовской области от 11 декабря 2024 года № 158-ЗСО «Об областном бюджете на 2025 год и на плановый период 2026 и 2027 годов», утвержден распоряжением Правительства Саратовской области от 27 декабря 2024 года № 402-Пр.</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За отчетный период неисполненные бюджетные обязательства сложились в размере 1 527 858,1 тыс. рублей, неис</w:t>
      </w:r>
      <w:r w:rsidR="00177CED">
        <w:rPr>
          <w:rFonts w:ascii="PT Astra Serif" w:eastAsia="PT Astra Serif" w:hAnsi="PT Astra Serif" w:cs="PT Astra Serif"/>
          <w:color w:val="000000"/>
          <w:sz w:val="28"/>
          <w:szCs w:val="28"/>
          <w:shd w:val="clear" w:color="auto" w:fill="FFFFFF"/>
        </w:rPr>
        <w:t xml:space="preserve">полненные денежные обязательств </w:t>
      </w:r>
      <w:r>
        <w:rPr>
          <w:rFonts w:ascii="PT Astra Serif" w:eastAsia="PT Astra Serif" w:hAnsi="PT Astra Serif" w:cs="PT Astra Serif"/>
          <w:color w:val="000000"/>
          <w:sz w:val="28"/>
          <w:szCs w:val="28"/>
          <w:shd w:val="clear" w:color="auto" w:fill="FFFFFF"/>
        </w:rPr>
        <w:t>в размере 55 140,0 тыс. рублей в связи с  изменением реквизитов контрагента, отсутствием лимитов бюджетных обязательств, несвоевременности представления исполнителями работ (услуг) (поставщиками, подрядчиками) документов для расчетов.</w:t>
      </w:r>
    </w:p>
    <w:p w:rsidR="00504C97" w:rsidRDefault="004D36C1" w:rsidP="00177CED">
      <w:pPr>
        <w:spacing w:line="266" w:lineRule="auto"/>
        <w:ind w:firstLine="720"/>
        <w:jc w:val="both"/>
        <w:rPr>
          <w:rFonts w:ascii="PT Astra Serif" w:hAnsi="PT Astra Serif" w:cs="PT Astra Serif"/>
          <w:color w:val="000000"/>
          <w:sz w:val="28"/>
          <w:szCs w:val="28"/>
        </w:rPr>
      </w:pPr>
      <w:r>
        <w:rPr>
          <w:rFonts w:ascii="PT Astra Serif" w:hAnsi="PT Astra Serif" w:cs="PT Astra Serif"/>
          <w:sz w:val="28"/>
          <w:szCs w:val="28"/>
        </w:rPr>
        <w:t>В Отчете об исполнении бюджета (ф. 0503117) превышение фактического исполнения над бюджетными назначениями иного межбюджетного трансферта, передаваемого бюджетам муниципальных районов на 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 (код целевой статьи расходов 5110178870) объясняется направлением 30 декабря 2025 года повторного подкрепления, при некорректном уточнении муниципальным районом кода цели по произведенным кассовым расходам в сумме 21 000 000 рублей 00 копеек.</w:t>
      </w:r>
    </w:p>
    <w:p w:rsidR="00504C97" w:rsidRDefault="004D36C1" w:rsidP="00177CED">
      <w:pPr>
        <w:spacing w:line="266"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Общий объем неисполненных бюджетных ассигнований областного бюджета за 2025 год составил 5 744 397,9 тыс. рублей. Причины неисполнения подробно описаны в форме 0503164 пояснительной записки.</w:t>
      </w:r>
    </w:p>
    <w:p w:rsidR="00504C97" w:rsidRDefault="004D36C1" w:rsidP="00177CED">
      <w:pPr>
        <w:spacing w:line="266" w:lineRule="auto"/>
        <w:ind w:firstLine="720"/>
        <w:jc w:val="both"/>
        <w:rPr>
          <w:rFonts w:ascii="PT Astra Serif" w:eastAsia="PT Astra Serif" w:hAnsi="PT Astra Serif" w:cs="PT Astra Serif"/>
          <w:color w:val="000000"/>
          <w:sz w:val="28"/>
          <w:szCs w:val="28"/>
          <w:shd w:val="clear" w:color="auto" w:fill="FFFFFF"/>
        </w:rPr>
      </w:pPr>
      <w:r>
        <w:rPr>
          <w:rFonts w:ascii="PT Astra Serif" w:eastAsia="PT Astra Serif" w:hAnsi="PT Astra Serif" w:cs="PT Astra Serif"/>
          <w:color w:val="000000"/>
          <w:sz w:val="28"/>
          <w:szCs w:val="28"/>
          <w:shd w:val="clear" w:color="auto" w:fill="FFFFFF"/>
        </w:rPr>
        <w:lastRenderedPageBreak/>
        <w:t xml:space="preserve">Учитывая, что информация в форме 0503164 носит структурированный характер, расшифровка причин образования неисполненных бюджетных ассигнований, по которым указан код 99 «иные причины», приводится в следующей таблице: </w:t>
      </w:r>
    </w:p>
    <w:p w:rsidR="00504C97" w:rsidRDefault="00504C97">
      <w:pPr>
        <w:ind w:firstLine="700"/>
        <w:jc w:val="both"/>
        <w:rPr>
          <w:rFonts w:ascii="PT Astra Serif" w:eastAsia="PT Astra Serif" w:hAnsi="PT Astra Serif" w:cs="PT Astra Serif"/>
          <w:color w:val="000000"/>
          <w:sz w:val="28"/>
          <w:szCs w:val="28"/>
        </w:rPr>
      </w:pPr>
    </w:p>
    <w:tbl>
      <w:tblPr>
        <w:tblW w:w="979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67"/>
        <w:gridCol w:w="2126"/>
        <w:gridCol w:w="5103"/>
      </w:tblGrid>
      <w:tr w:rsidR="00504C97">
        <w:trPr>
          <w:cantSplit/>
          <w:trHeight w:val="1806"/>
          <w:tblHeader/>
        </w:trPr>
        <w:tc>
          <w:tcPr>
            <w:tcW w:w="2567" w:type="dxa"/>
            <w:shd w:val="clear" w:color="auto" w:fill="auto"/>
            <w:vAlign w:val="center"/>
          </w:tcPr>
          <w:p w:rsidR="00504C97" w:rsidRDefault="004D36C1">
            <w:pPr>
              <w:jc w:val="center"/>
              <w:rPr>
                <w:rFonts w:ascii="PT Astra Serif" w:hAnsi="PT Astra Serif"/>
                <w:color w:val="000000"/>
                <w:sz w:val="25"/>
                <w:szCs w:val="25"/>
              </w:rPr>
            </w:pPr>
            <w:r>
              <w:rPr>
                <w:rFonts w:ascii="PT Astra Serif" w:eastAsia="PT Astra Serif" w:hAnsi="PT Astra Serif" w:cs="PT Astra Serif"/>
                <w:b/>
                <w:color w:val="000000"/>
                <w:sz w:val="25"/>
                <w:szCs w:val="25"/>
                <w:shd w:val="clear" w:color="auto" w:fill="FFFFFF"/>
              </w:rPr>
              <w:t>Код по бюджетной классификации (ГРБС/Подраздел/КЦСР)</w:t>
            </w:r>
          </w:p>
        </w:tc>
        <w:tc>
          <w:tcPr>
            <w:tcW w:w="2126" w:type="dxa"/>
            <w:shd w:val="clear" w:color="auto" w:fill="auto"/>
            <w:noWrap/>
            <w:vAlign w:val="center"/>
          </w:tcPr>
          <w:p w:rsidR="00504C97" w:rsidRDefault="004D36C1">
            <w:pPr>
              <w:jc w:val="center"/>
              <w:rPr>
                <w:rFonts w:ascii="PT Astra Serif" w:eastAsia="Times New Roman" w:hAnsi="PT Astra Serif" w:cs="Calibri"/>
                <w:color w:val="000000"/>
                <w:sz w:val="25"/>
                <w:szCs w:val="25"/>
              </w:rPr>
            </w:pPr>
            <w:r>
              <w:rPr>
                <w:rFonts w:ascii="PT Astra Serif" w:eastAsia="PT Astra Serif" w:hAnsi="PT Astra Serif" w:cs="PT Astra Serif"/>
                <w:b/>
                <w:color w:val="000000"/>
                <w:sz w:val="25"/>
                <w:szCs w:val="25"/>
                <w:shd w:val="clear" w:color="auto" w:fill="FFFFFF"/>
              </w:rPr>
              <w:t xml:space="preserve">Сумма отклонений утвержденных бюджетных ассигнований от исполнения, </w:t>
            </w:r>
            <w:proofErr w:type="spellStart"/>
            <w:r>
              <w:rPr>
                <w:rFonts w:ascii="PT Astra Serif" w:eastAsia="PT Astra Serif" w:hAnsi="PT Astra Serif" w:cs="PT Astra Serif"/>
                <w:b/>
                <w:color w:val="000000"/>
                <w:sz w:val="25"/>
                <w:szCs w:val="25"/>
                <w:shd w:val="clear" w:color="auto" w:fill="FFFFFF"/>
              </w:rPr>
              <w:t>руб</w:t>
            </w:r>
            <w:proofErr w:type="spellEnd"/>
          </w:p>
        </w:tc>
        <w:tc>
          <w:tcPr>
            <w:tcW w:w="5103" w:type="dxa"/>
            <w:shd w:val="clear" w:color="auto" w:fill="auto"/>
            <w:vAlign w:val="center"/>
          </w:tcPr>
          <w:p w:rsidR="00504C97" w:rsidRDefault="004D36C1">
            <w:pPr>
              <w:jc w:val="center"/>
              <w:rPr>
                <w:rFonts w:ascii="PT Astra Serif" w:eastAsia="Times New Roman" w:hAnsi="PT Astra Serif" w:cs="Calibri"/>
                <w:sz w:val="25"/>
                <w:szCs w:val="25"/>
              </w:rPr>
            </w:pPr>
            <w:r>
              <w:rPr>
                <w:rFonts w:ascii="PT Astra Serif" w:eastAsia="PT Astra Serif" w:hAnsi="PT Astra Serif" w:cs="PT Astra Serif"/>
                <w:b/>
                <w:color w:val="000000"/>
                <w:sz w:val="25"/>
                <w:szCs w:val="25"/>
                <w:shd w:val="clear" w:color="auto" w:fill="FFFFFF"/>
              </w:rPr>
              <w:t>Причины отклонений с кодом 99 «иные причины</w:t>
            </w:r>
          </w:p>
        </w:tc>
      </w:tr>
      <w:tr w:rsidR="00504C97" w:rsidTr="00177CED">
        <w:trPr>
          <w:cantSplit/>
          <w:trHeight w:val="194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002 0103 9940451410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-4 184 729,28</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Отклонение по расходам на обеспечение деятельности депутатов Государственной Думы и их помощников в избирательных округах связано с тем, что расходы осуществляются из областного бюджета по заявкам депутатов Государственной Думы ФС РФ</w:t>
            </w:r>
          </w:p>
        </w:tc>
      </w:tr>
      <w:tr w:rsidR="00504C97" w:rsidTr="00177CED">
        <w:trPr>
          <w:cantSplit/>
          <w:trHeight w:val="119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002 0104 9140302100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-4 311 696,02</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Отклонение по расходам на обеспечение деятельности Председателя Правительства области и его заместителей связано с наличием вакантных должностей</w:t>
            </w:r>
          </w:p>
        </w:tc>
      </w:tr>
      <w:tr w:rsidR="00504C97" w:rsidTr="004D36C1">
        <w:trPr>
          <w:cantSplit/>
          <w:trHeight w:val="3248"/>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002 0104 9140302200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-4 789 378,82</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Отклонение по расходам на обеспечение функций центрального аппарата связано с применения пониженного тарифа в размере 15,1% на выплаты, превышающие единую предельную величину базы для исчисления страховых взносов, а также</w:t>
            </w:r>
            <w:r>
              <w:rPr>
                <w:rFonts w:ascii="PT Astra Serif" w:eastAsia="Times New Roman" w:hAnsi="PT Astra Serif" w:cs="Calibri"/>
                <w:sz w:val="25"/>
                <w:szCs w:val="25"/>
              </w:rPr>
              <w:br/>
              <w:t>фактическая потребность командировочных расходов меньше запланированной (количество командировок составило меньше запланированного)</w:t>
            </w:r>
          </w:p>
        </w:tc>
      </w:tr>
      <w:tr w:rsidR="00504C97" w:rsidTr="00177CED">
        <w:trPr>
          <w:cantSplit/>
          <w:trHeight w:val="4099"/>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002 0113 9340104200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-27 129 820,76</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Отклонение по расходам на обеспечение деятельности областных государственных казенных учреждений связано с экономией, сложившейся по результатам проведения конкурсных процедур, предоставлением контрагентом документов на оплату по окончанию периода (оплата произведена в очередном финансовом году в соответствии с условиями контракта), потребность в плате за негативное воздействие меньше запланированной, фактическая потребность командировочных расходов меньше запланированной, экономия по фонду оплаты труда, в связи наличием вакантных должностей</w:t>
            </w:r>
          </w:p>
        </w:tc>
      </w:tr>
      <w:tr w:rsidR="00504C97" w:rsidTr="004D36C1">
        <w:trPr>
          <w:cantSplit/>
          <w:trHeight w:val="112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lastRenderedPageBreak/>
              <w:t>004 0102 9140302200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-13 150 428,76</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и превышение предельной базы для начисления страховых взносов</w:t>
            </w:r>
          </w:p>
        </w:tc>
      </w:tr>
      <w:tr w:rsidR="00504C97" w:rsidTr="00177CED">
        <w:trPr>
          <w:cantSplit/>
          <w:trHeight w:val="213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005 0106 9140302200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-9 647 138,56</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фонда оплаты труда связана  с наличием вакантных должностей и листов нетрудоспособности, сокращением количества командировок, а также экономия, сложившаяся в результате проведения конкурсных процедур при заключении контрактов</w:t>
            </w:r>
          </w:p>
        </w:tc>
      </w:tr>
      <w:tr w:rsidR="00504C97" w:rsidTr="004D36C1">
        <w:trPr>
          <w:cantSplit/>
          <w:trHeight w:val="1972"/>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005 1301 6630210024</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-488 954 800,69</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связана с отсутствием потребности областного бюджета в привлечении в конце года банковских кредитов, запланированные средства для уплаты процентов по заключенным государственным контрактам не потребовались</w:t>
            </w:r>
          </w:p>
        </w:tc>
      </w:tr>
      <w:tr w:rsidR="00504C97">
        <w:trPr>
          <w:cantSplit/>
          <w:trHeight w:val="1264"/>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006 0113 6530115180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-2 685 380,27</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расторжения государственного контракта, поставщик включен в реестр недобросовестных поставщиков</w:t>
            </w:r>
          </w:p>
        </w:tc>
      </w:tr>
      <w:tr w:rsidR="00504C97">
        <w:trPr>
          <w:cantSplit/>
          <w:trHeight w:val="84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006 0113 9140302200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-1 305 945,34</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и превышения предельной базы для начисления страховых взносов и по командировочным расходам</w:t>
            </w:r>
          </w:p>
        </w:tc>
      </w:tr>
      <w:tr w:rsidR="00504C97">
        <w:trPr>
          <w:cantSplit/>
          <w:trHeight w:val="9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009 0705 9940308210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95 000,00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изменения количества сотрудников, планируемых к обучению в связи с вводом нового штатного расписания</w:t>
            </w:r>
          </w:p>
        </w:tc>
      </w:tr>
      <w:tr w:rsidR="00504C97">
        <w:trPr>
          <w:cantSplit/>
          <w:trHeight w:val="425"/>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011 0113 9340104200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-706 329,64</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 xml:space="preserve">Экономия сложилась в связи с распоряжением Правительства Саратовской области от 11 декабря 2025 года № 593-Пр «О ликвидации Государственного казенного </w:t>
            </w:r>
            <w:r w:rsidR="000930F8">
              <w:rPr>
                <w:rFonts w:ascii="PT Astra Serif" w:eastAsia="Times New Roman" w:hAnsi="PT Astra Serif" w:cs="Calibri"/>
                <w:sz w:val="25"/>
                <w:szCs w:val="25"/>
              </w:rPr>
              <w:t>учреждения Саратовской области «</w:t>
            </w:r>
            <w:r>
              <w:rPr>
                <w:rFonts w:ascii="PT Astra Serif" w:eastAsia="Times New Roman" w:hAnsi="PT Astra Serif" w:cs="Calibri"/>
                <w:sz w:val="25"/>
                <w:szCs w:val="25"/>
              </w:rPr>
              <w:t>Центр развития Саратовской агломерации и индустриальных парков», а именно переводом части мероприятий в формат ВКС, отсутствием договорных обязательств</w:t>
            </w:r>
          </w:p>
        </w:tc>
      </w:tr>
      <w:tr w:rsidR="00504C97">
        <w:trPr>
          <w:cantSplit/>
          <w:trHeight w:val="9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012 0113 9140302200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-1 308 494,90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и превышения предельной базы для начисления страховых взносов</w:t>
            </w:r>
          </w:p>
        </w:tc>
      </w:tr>
      <w:tr w:rsidR="00504C97">
        <w:trPr>
          <w:cantSplit/>
          <w:trHeight w:val="12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lastRenderedPageBreak/>
              <w:t>014 0113 9140202200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-1 017 269,92</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фонда оплаты труда связана с выплатами пособий по временной нетрудоспособности, превышением предельной базы для начисления страховых взносов</w:t>
            </w:r>
          </w:p>
        </w:tc>
      </w:tr>
      <w:tr w:rsidR="00504C97">
        <w:trPr>
          <w:cantSplit/>
          <w:trHeight w:val="9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014 0705 9940308210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-12 400,00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в отчетном периоде сложилась в результате прохождения обучения сотрудников на безвозмездной основе</w:t>
            </w:r>
          </w:p>
        </w:tc>
      </w:tr>
      <w:tr w:rsidR="00504C97" w:rsidTr="00E90309">
        <w:trPr>
          <w:cantSplit/>
          <w:trHeight w:val="1042"/>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015 0113 9140302200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-13 590 171,10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фонда оплаты труда связана  с наличием вакантных должностей и листов нетрудоспособности</w:t>
            </w:r>
          </w:p>
        </w:tc>
      </w:tr>
      <w:tr w:rsidR="00504C97">
        <w:trPr>
          <w:cantSplit/>
          <w:trHeight w:val="6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015 0113 9440103800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-58 785,80</w:t>
            </w:r>
          </w:p>
        </w:tc>
        <w:tc>
          <w:tcPr>
            <w:tcW w:w="5103" w:type="dxa"/>
            <w:vMerge w:val="restart"/>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ввиду заявительного характера работ и услуг по данной статье</w:t>
            </w:r>
          </w:p>
        </w:tc>
      </w:tr>
      <w:tr w:rsidR="00504C97">
        <w:trPr>
          <w:cantSplit/>
          <w:trHeight w:val="6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015 0113 9440106500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-7 100,00</w:t>
            </w:r>
          </w:p>
        </w:tc>
        <w:tc>
          <w:tcPr>
            <w:tcW w:w="5103" w:type="dxa"/>
            <w:vMerge/>
            <w:shd w:val="clear" w:color="auto" w:fill="auto"/>
            <w:vAlign w:val="center"/>
          </w:tcPr>
          <w:p w:rsidR="00504C97" w:rsidRDefault="00504C97">
            <w:pPr>
              <w:jc w:val="both"/>
              <w:rPr>
                <w:rFonts w:ascii="PT Astra Serif" w:eastAsia="Times New Roman" w:hAnsi="PT Astra Serif" w:cs="Calibri"/>
                <w:sz w:val="25"/>
                <w:szCs w:val="25"/>
                <w:highlight w:val="cyan"/>
              </w:rPr>
            </w:pPr>
          </w:p>
        </w:tc>
      </w:tr>
      <w:tr w:rsidR="00504C97">
        <w:trPr>
          <w:cantSplit/>
          <w:trHeight w:val="6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015 0113 9440108630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-125 280,00</w:t>
            </w:r>
          </w:p>
        </w:tc>
        <w:tc>
          <w:tcPr>
            <w:tcW w:w="5103" w:type="dxa"/>
            <w:vMerge/>
            <w:shd w:val="clear" w:color="auto" w:fill="auto"/>
            <w:vAlign w:val="center"/>
          </w:tcPr>
          <w:p w:rsidR="00504C97" w:rsidRDefault="00504C97">
            <w:pPr>
              <w:jc w:val="both"/>
              <w:rPr>
                <w:rFonts w:ascii="PT Astra Serif" w:eastAsia="Times New Roman" w:hAnsi="PT Astra Serif" w:cs="Calibri"/>
                <w:sz w:val="25"/>
                <w:szCs w:val="25"/>
                <w:highlight w:val="cyan"/>
              </w:rPr>
            </w:pPr>
          </w:p>
        </w:tc>
      </w:tr>
      <w:tr w:rsidR="00504C97">
        <w:trPr>
          <w:cantSplit/>
          <w:trHeight w:val="6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015 0412 9440106700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-80 900,00</w:t>
            </w:r>
          </w:p>
        </w:tc>
        <w:tc>
          <w:tcPr>
            <w:tcW w:w="5103" w:type="dxa"/>
            <w:vMerge/>
            <w:shd w:val="clear" w:color="auto" w:fill="auto"/>
            <w:vAlign w:val="center"/>
          </w:tcPr>
          <w:p w:rsidR="00504C97" w:rsidRDefault="00504C97">
            <w:pPr>
              <w:jc w:val="both"/>
              <w:rPr>
                <w:rFonts w:ascii="PT Astra Serif" w:eastAsia="Times New Roman" w:hAnsi="PT Astra Serif" w:cs="Calibri"/>
                <w:sz w:val="25"/>
                <w:szCs w:val="25"/>
                <w:highlight w:val="cyan"/>
              </w:rPr>
            </w:pPr>
          </w:p>
        </w:tc>
      </w:tr>
      <w:tr w:rsidR="00504C97" w:rsidTr="00E90309">
        <w:trPr>
          <w:cantSplit/>
          <w:trHeight w:val="1529"/>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017 0310 9940315490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-532 539,66</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Уменьшение численности работников, имеющих право на получение поощрительной выплаты за достижение показателей деятельности, по сравнению с запланированной</w:t>
            </w:r>
          </w:p>
        </w:tc>
      </w:tr>
      <w:tr w:rsidR="00504C97" w:rsidTr="00E90309">
        <w:trPr>
          <w:cantSplit/>
          <w:trHeight w:val="1268"/>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017 0705 6430204205</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-12 000,00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Уменьшение численности работников для прохождения обучения, переподготовки и повышения квалификации по сравнению с запланированной</w:t>
            </w:r>
          </w:p>
        </w:tc>
      </w:tr>
      <w:tr w:rsidR="00504C97" w:rsidTr="004D36C1">
        <w:trPr>
          <w:cantSplit/>
          <w:trHeight w:val="1094"/>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025 0113 9140302200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-3 159 014,87</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и превышения предельной базы для начисления страховых взносов</w:t>
            </w:r>
          </w:p>
        </w:tc>
      </w:tr>
      <w:tr w:rsidR="00504C97" w:rsidTr="004D36C1">
        <w:trPr>
          <w:cantSplit/>
          <w:trHeight w:val="969"/>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025 0705 9940308210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-37 500,00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прохождения обучения на безвозмездной основе</w:t>
            </w:r>
          </w:p>
        </w:tc>
      </w:tr>
      <w:tr w:rsidR="00504C97" w:rsidTr="004D36C1">
        <w:trPr>
          <w:cantSplit/>
          <w:trHeight w:val="1705"/>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026 0705 9940308210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3 800,00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связана с увольнением сотрудника, по которому планировались мероприятия по профессиональному развитию государственных гражданских служащих</w:t>
            </w:r>
          </w:p>
        </w:tc>
      </w:tr>
      <w:tr w:rsidR="00504C97" w:rsidTr="004D36C1">
        <w:trPr>
          <w:cantSplit/>
          <w:trHeight w:val="839"/>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lastRenderedPageBreak/>
              <w:t>028 0113 9140302200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-2 751 142,39</w:t>
            </w:r>
          </w:p>
        </w:tc>
        <w:tc>
          <w:tcPr>
            <w:tcW w:w="5103" w:type="dxa"/>
            <w:vMerge w:val="restart"/>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и превышения предельной базы для начисления страховых взносов, а также нахождения сотрудника в длительном отпуске без сохранении денежного содержания</w:t>
            </w:r>
          </w:p>
        </w:tc>
      </w:tr>
      <w:tr w:rsidR="00504C97" w:rsidTr="004D36C1">
        <w:trPr>
          <w:cantSplit/>
          <w:trHeight w:val="112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031 0709 9140302200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-1 386 189,72</w:t>
            </w:r>
          </w:p>
        </w:tc>
        <w:tc>
          <w:tcPr>
            <w:tcW w:w="5103" w:type="dxa"/>
            <w:vMerge/>
            <w:shd w:val="clear" w:color="auto" w:fill="auto"/>
            <w:vAlign w:val="center"/>
          </w:tcPr>
          <w:p w:rsidR="00504C97" w:rsidRDefault="00504C97">
            <w:pPr>
              <w:jc w:val="both"/>
              <w:rPr>
                <w:rFonts w:ascii="PT Astra Serif" w:eastAsia="Times New Roman" w:hAnsi="PT Astra Serif" w:cs="Calibri"/>
                <w:sz w:val="25"/>
                <w:szCs w:val="25"/>
              </w:rPr>
            </w:pPr>
          </w:p>
        </w:tc>
      </w:tr>
      <w:tr w:rsidR="00504C97" w:rsidTr="004D36C1">
        <w:trPr>
          <w:cantSplit/>
          <w:trHeight w:val="1122"/>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032 0106 9140202200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-5 894 674,15</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связана с наличием вакансий и применением регрессивной шкалы по страховым взносам</w:t>
            </w:r>
          </w:p>
        </w:tc>
      </w:tr>
      <w:tr w:rsidR="00504C97" w:rsidTr="004D36C1">
        <w:trPr>
          <w:cantSplit/>
          <w:trHeight w:val="2839"/>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034 0107 9840103400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-7 270,00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Отклонение от планового процента исполнения объясняется  экономией по результатам проведения закупок по пункту 4 части 1 статьи 93 Федерального закона «О контрактной системе в сфере закупок товаров, работ, услуг для обеспечения государственных и муниципальных нужд» за счет мониторинга цен и проведения закупок по наименьшей цене</w:t>
            </w:r>
          </w:p>
        </w:tc>
      </w:tr>
      <w:tr w:rsidR="00504C97" w:rsidTr="004D36C1">
        <w:trPr>
          <w:cantSplit/>
          <w:trHeight w:val="254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034 0705 9940308210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-4 400,00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по результатам проведения закупок по пункту 4 части 1 статьи 93 Федерального закона «О контрактной системе в сфере закупок товаров, работ, услуг для обеспечения государственных и муниципальных нужд» за счет мониторинга цен и проведения закупок по наименьшей цене</w:t>
            </w:r>
          </w:p>
        </w:tc>
      </w:tr>
      <w:tr w:rsidR="00504C97" w:rsidTr="004D36C1">
        <w:trPr>
          <w:cantSplit/>
          <w:trHeight w:val="225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037 0801 5530104211</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-5 929 120,23</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в подведомственном учреждении ГКУК «НПЦ», и в связи с ограниченными сроками исполнения работ по проектированию зон охраны, конкурс на исполнение данных работ не состоялся в связи с отсутствием участников</w:t>
            </w:r>
          </w:p>
        </w:tc>
      </w:tr>
      <w:tr w:rsidR="00504C97" w:rsidTr="004D36C1">
        <w:trPr>
          <w:cantSplit/>
          <w:trHeight w:val="1688"/>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037 0801 9940308720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-11 878 703,64</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при проведении конкурсных процедур, а также в связи с невыполнением сроков исполнения заключенных контрактов (работы частично будут сданы в январе 2026 года)</w:t>
            </w:r>
          </w:p>
        </w:tc>
      </w:tr>
      <w:tr w:rsidR="00504C97" w:rsidTr="004D36C1">
        <w:trPr>
          <w:cantSplit/>
          <w:trHeight w:val="1129"/>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lastRenderedPageBreak/>
              <w:t>037 0804 9140302200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-2 950 679,22</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и превышения предельной базы для начисления страховых взносов</w:t>
            </w:r>
          </w:p>
        </w:tc>
      </w:tr>
      <w:tr w:rsidR="00504C97" w:rsidTr="004D36C1">
        <w:trPr>
          <w:cantSplit/>
          <w:trHeight w:val="2539"/>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041 0113 9940194100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-47 183,67</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Ассигнования были доведены по судебным решениям  Арбитражного суда Саратовской области на возмещение расходов по уплате государственной пошлины и почтовых расходов в пользу ГУ СО «Эксплуатация и обслуживание зданий», ПАО «Т Плюс», ООО «Строй-Эксперт», ООО «</w:t>
            </w:r>
            <w:proofErr w:type="spellStart"/>
            <w:r>
              <w:rPr>
                <w:rFonts w:ascii="PT Astra Serif" w:eastAsia="Times New Roman" w:hAnsi="PT Astra Serif" w:cs="Calibri"/>
                <w:sz w:val="25"/>
                <w:szCs w:val="25"/>
              </w:rPr>
              <w:t>Флан</w:t>
            </w:r>
            <w:proofErr w:type="spellEnd"/>
            <w:r>
              <w:rPr>
                <w:rFonts w:ascii="PT Astra Serif" w:eastAsia="Times New Roman" w:hAnsi="PT Astra Serif" w:cs="Calibri"/>
                <w:sz w:val="25"/>
                <w:szCs w:val="25"/>
              </w:rPr>
              <w:t>-М». Исполнительные листы не поступили</w:t>
            </w:r>
          </w:p>
        </w:tc>
      </w:tr>
      <w:tr w:rsidR="00504C97" w:rsidTr="004D36C1">
        <w:trPr>
          <w:cantSplit/>
          <w:trHeight w:val="2502"/>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041 0113 9940294200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-402 976,00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Ассигнования были доведены по судебным решениям  Арбитражного суда Саратовской области на возмещение задолженности, процентов за пользование чужими деньгами, неустойки в пользу ГУ СО «Эксплуатация и обслуживание зданий», ПАО «Т Плюс», ООО «Строй-Эксперт», ООО «</w:t>
            </w:r>
            <w:proofErr w:type="spellStart"/>
            <w:r>
              <w:rPr>
                <w:rFonts w:ascii="PT Astra Serif" w:eastAsia="Times New Roman" w:hAnsi="PT Astra Serif" w:cs="Calibri"/>
                <w:sz w:val="25"/>
                <w:szCs w:val="25"/>
              </w:rPr>
              <w:t>Флан</w:t>
            </w:r>
            <w:proofErr w:type="spellEnd"/>
            <w:r>
              <w:rPr>
                <w:rFonts w:ascii="PT Astra Serif" w:eastAsia="Times New Roman" w:hAnsi="PT Astra Serif" w:cs="Calibri"/>
                <w:sz w:val="25"/>
                <w:szCs w:val="25"/>
              </w:rPr>
              <w:t>-М».  Исполнительные листы не поступили</w:t>
            </w:r>
          </w:p>
        </w:tc>
      </w:tr>
      <w:tr w:rsidR="00504C97" w:rsidTr="004D36C1">
        <w:trPr>
          <w:cantSplit/>
          <w:trHeight w:val="1875"/>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042 0705 521Я253130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-9 100,00</w:t>
            </w:r>
          </w:p>
        </w:tc>
        <w:tc>
          <w:tcPr>
            <w:tcW w:w="5103" w:type="dxa"/>
            <w:vMerge w:val="restart"/>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Неисполнение обусловлено тем, что соглашение на уменьшение бюджетных ассигнований с Министерством труда и социальной защиты Российской Федерации было заключено 17.12.2025 (№ 149-09-2025-493/2).  Уведомление о предоставлении субсидии, субвенции, иного межбюджетного трансферта, имеющего целевое назначение на уменьшение бюджетных ассигнований поступило 26.12.2</w:t>
            </w:r>
            <w:r w:rsidR="000930F8">
              <w:rPr>
                <w:rFonts w:ascii="PT Astra Serif" w:eastAsia="Times New Roman" w:hAnsi="PT Astra Serif" w:cs="Calibri"/>
                <w:sz w:val="25"/>
                <w:szCs w:val="25"/>
              </w:rPr>
              <w:t>025 года (№ 630-2025-1-079/001)</w:t>
            </w:r>
          </w:p>
        </w:tc>
      </w:tr>
      <w:tr w:rsidR="00504C97" w:rsidTr="00E90309">
        <w:trPr>
          <w:cantSplit/>
          <w:trHeight w:val="1549"/>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042 1002 521Я253130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-2 246 900,00</w:t>
            </w:r>
          </w:p>
        </w:tc>
        <w:tc>
          <w:tcPr>
            <w:tcW w:w="5103" w:type="dxa"/>
            <w:vMerge/>
            <w:shd w:val="clear" w:color="auto" w:fill="auto"/>
            <w:vAlign w:val="center"/>
          </w:tcPr>
          <w:p w:rsidR="00504C97" w:rsidRDefault="00504C97">
            <w:pPr>
              <w:jc w:val="both"/>
              <w:rPr>
                <w:rFonts w:ascii="PT Astra Serif" w:eastAsia="Times New Roman" w:hAnsi="PT Astra Serif" w:cs="Calibri"/>
                <w:sz w:val="25"/>
                <w:szCs w:val="25"/>
                <w:highlight w:val="cyan"/>
              </w:rPr>
            </w:pPr>
          </w:p>
        </w:tc>
      </w:tr>
      <w:tr w:rsidR="00504C97">
        <w:trPr>
          <w:cantSplit/>
          <w:trHeight w:val="978"/>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042 1003 521Я2А4040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-287 008,56</w:t>
            </w:r>
          </w:p>
        </w:tc>
        <w:tc>
          <w:tcPr>
            <w:tcW w:w="5103" w:type="dxa"/>
            <w:vMerge w:val="restart"/>
            <w:shd w:val="clear" w:color="auto" w:fill="auto"/>
            <w:vAlign w:val="center"/>
          </w:tcPr>
          <w:p w:rsidR="00504C97" w:rsidRDefault="000930F8" w:rsidP="000930F8">
            <w:pPr>
              <w:jc w:val="both"/>
              <w:rPr>
                <w:rFonts w:ascii="PT Astra Serif" w:eastAsia="Times New Roman" w:hAnsi="PT Astra Serif" w:cs="Calibri"/>
                <w:sz w:val="25"/>
                <w:szCs w:val="25"/>
              </w:rPr>
            </w:pPr>
            <w:r>
              <w:rPr>
                <w:rFonts w:ascii="PT Astra Serif" w:eastAsia="Times New Roman" w:hAnsi="PT Astra Serif" w:cs="Calibri"/>
                <w:sz w:val="25"/>
                <w:szCs w:val="25"/>
              </w:rPr>
              <w:t>По ГКУ «</w:t>
            </w:r>
            <w:r w:rsidR="004D36C1">
              <w:rPr>
                <w:rFonts w:ascii="PT Astra Serif" w:eastAsia="Times New Roman" w:hAnsi="PT Astra Serif" w:cs="Calibri"/>
                <w:sz w:val="25"/>
                <w:szCs w:val="25"/>
              </w:rPr>
              <w:t>ЦКСЗН Саратовской области</w:t>
            </w:r>
            <w:r>
              <w:rPr>
                <w:rFonts w:ascii="PT Astra Serif" w:eastAsia="Times New Roman" w:hAnsi="PT Astra Serif" w:cs="Calibri"/>
                <w:sz w:val="25"/>
                <w:szCs w:val="25"/>
              </w:rPr>
              <w:t>»</w:t>
            </w:r>
            <w:r w:rsidR="004D36C1">
              <w:rPr>
                <w:rFonts w:ascii="PT Astra Serif" w:eastAsia="Times New Roman" w:hAnsi="PT Astra Serif" w:cs="Calibri"/>
                <w:sz w:val="25"/>
                <w:szCs w:val="25"/>
              </w:rPr>
              <w:t xml:space="preserve"> неисполнение плановых показателей по расходам бюджета объясняется тем, что выплата мер социальной поддержки носит заявительный характер. Оплата услуг почты и банка осуществляется по факту выплаты мер социальной поддержки льготным категориям граждан</w:t>
            </w:r>
          </w:p>
        </w:tc>
      </w:tr>
      <w:tr w:rsidR="00504C97" w:rsidTr="004D36C1">
        <w:trPr>
          <w:cantSplit/>
          <w:trHeight w:val="702"/>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042 1003 523021105И</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-38 511,00</w:t>
            </w:r>
          </w:p>
        </w:tc>
        <w:tc>
          <w:tcPr>
            <w:tcW w:w="5103" w:type="dxa"/>
            <w:vMerge/>
            <w:shd w:val="clear" w:color="auto" w:fill="auto"/>
            <w:vAlign w:val="center"/>
          </w:tcPr>
          <w:p w:rsidR="00504C97" w:rsidRDefault="00504C97">
            <w:pPr>
              <w:jc w:val="both"/>
              <w:rPr>
                <w:rFonts w:ascii="PT Astra Serif" w:eastAsia="Times New Roman" w:hAnsi="PT Astra Serif" w:cs="Calibri"/>
                <w:sz w:val="25"/>
                <w:szCs w:val="25"/>
                <w:highlight w:val="cyan"/>
              </w:rPr>
            </w:pPr>
          </w:p>
        </w:tc>
      </w:tr>
      <w:tr w:rsidR="00504C97">
        <w:trPr>
          <w:cantSplit/>
          <w:trHeight w:val="1129"/>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042 1004 521Я2А3130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-3 020,00</w:t>
            </w:r>
          </w:p>
        </w:tc>
        <w:tc>
          <w:tcPr>
            <w:tcW w:w="5103" w:type="dxa"/>
            <w:vMerge/>
            <w:shd w:val="clear" w:color="auto" w:fill="auto"/>
            <w:vAlign w:val="center"/>
          </w:tcPr>
          <w:p w:rsidR="00504C97" w:rsidRDefault="00504C97">
            <w:pPr>
              <w:jc w:val="both"/>
              <w:rPr>
                <w:rFonts w:ascii="PT Astra Serif" w:eastAsia="Times New Roman" w:hAnsi="PT Astra Serif" w:cs="Calibri"/>
                <w:sz w:val="25"/>
                <w:szCs w:val="25"/>
                <w:highlight w:val="cyan"/>
              </w:rPr>
            </w:pPr>
          </w:p>
        </w:tc>
      </w:tr>
      <w:tr w:rsidR="00504C97">
        <w:trPr>
          <w:cantSplit/>
          <w:trHeight w:val="42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lastRenderedPageBreak/>
              <w:t>042 1004 9040159400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-92 400,00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 xml:space="preserve">Неисполнение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w:t>
            </w:r>
            <w:r>
              <w:rPr>
                <w:rFonts w:ascii="PT Astra Serif" w:eastAsia="Times New Roman" w:hAnsi="PT Astra Serif" w:cs="Calibri"/>
                <w:spacing w:val="-10"/>
                <w:sz w:val="25"/>
                <w:szCs w:val="25"/>
              </w:rPr>
              <w:t>Содружества Независимых Государств несовершеннолетних</w:t>
            </w:r>
            <w:r>
              <w:rPr>
                <w:rFonts w:ascii="PT Astra Serif" w:eastAsia="Times New Roman" w:hAnsi="PT Astra Serif" w:cs="Calibri"/>
                <w:sz w:val="25"/>
                <w:szCs w:val="25"/>
              </w:rPr>
              <w:t xml:space="preserve">, самовольно ушедших из семей, организаций для детей-сирот и детей, оставшихся без попечения родителей, образовательных организаций и иных организаций </w:t>
            </w:r>
            <w:r>
              <w:rPr>
                <w:rFonts w:ascii="PT Astra Serif" w:eastAsia="Times New Roman" w:hAnsi="PT Astra Serif" w:cs="Calibri"/>
                <w:spacing w:val="-8"/>
                <w:sz w:val="25"/>
                <w:szCs w:val="25"/>
              </w:rPr>
              <w:t>обусловлено отсутствием несовершеннолетних</w:t>
            </w:r>
            <w:r>
              <w:rPr>
                <w:rFonts w:ascii="PT Astra Serif" w:eastAsia="Times New Roman" w:hAnsi="PT Astra Serif" w:cs="Calibri"/>
                <w:sz w:val="25"/>
                <w:szCs w:val="25"/>
              </w:rPr>
              <w:t>,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r>
      <w:tr w:rsidR="00504C97">
        <w:trPr>
          <w:cantSplit/>
          <w:trHeight w:val="15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043 0405 9140302200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-5 223 421,65</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и превышения предельной базы для начисления страховых взносов, а также в результате применения конкурсных процедур</w:t>
            </w:r>
          </w:p>
        </w:tc>
      </w:tr>
      <w:tr w:rsidR="00504C97" w:rsidTr="004D36C1">
        <w:trPr>
          <w:cantSplit/>
          <w:trHeight w:val="1663"/>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043 0603 6230104206</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-967 638,52</w:t>
            </w:r>
          </w:p>
        </w:tc>
        <w:tc>
          <w:tcPr>
            <w:tcW w:w="5103" w:type="dxa"/>
            <w:shd w:val="clear" w:color="auto" w:fill="auto"/>
            <w:vAlign w:val="center"/>
          </w:tcPr>
          <w:p w:rsidR="00504C97" w:rsidRDefault="004D36C1" w:rsidP="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по результатам осуществления мероприятий по созданию и управлению двух государственных природных зоологических (охотничьих) заказников регионального значения</w:t>
            </w:r>
          </w:p>
        </w:tc>
      </w:tr>
      <w:tr w:rsidR="00504C97">
        <w:trPr>
          <w:cantSplit/>
          <w:trHeight w:val="12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047 0113 9140202200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-3 159 955,58</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фонда оплаты труда сложилась в связи с выплатами пособий по временной нетрудоспособности, и превышением предельной базы для начисления страховых взносов</w:t>
            </w:r>
          </w:p>
        </w:tc>
      </w:tr>
      <w:tr w:rsidR="00504C97" w:rsidTr="004D36C1">
        <w:trPr>
          <w:cantSplit/>
          <w:trHeight w:val="1038"/>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055 0113 9140302200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-554 559,41</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и превышения предельной базы для начисления страховых взносов</w:t>
            </w:r>
          </w:p>
        </w:tc>
      </w:tr>
      <w:tr w:rsidR="00504C97">
        <w:trPr>
          <w:cantSplit/>
          <w:trHeight w:val="150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078 0408 9140302200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-3 856 857,50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фонда оплаты труда связана с наличием вакантных должностей и листов нетрудоспособности</w:t>
            </w:r>
            <w:r>
              <w:rPr>
                <w:rFonts w:ascii="PT Astra Serif" w:eastAsia="Times New Roman" w:hAnsi="PT Astra Serif" w:cs="Calibri"/>
                <w:spacing w:val="-8"/>
                <w:sz w:val="25"/>
                <w:szCs w:val="25"/>
              </w:rPr>
              <w:t>, сокращением количества командировок и превышением</w:t>
            </w:r>
            <w:r>
              <w:rPr>
                <w:rFonts w:ascii="PT Astra Serif" w:eastAsia="Times New Roman" w:hAnsi="PT Astra Serif" w:cs="Calibri"/>
                <w:sz w:val="25"/>
                <w:szCs w:val="25"/>
              </w:rPr>
              <w:t xml:space="preserve"> предельной базы для начисления страховых взносов</w:t>
            </w:r>
          </w:p>
        </w:tc>
      </w:tr>
      <w:tr w:rsidR="00504C97" w:rsidTr="004D36C1">
        <w:trPr>
          <w:cantSplit/>
          <w:trHeight w:val="839"/>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079 0113 9940294100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-1 933 585,71</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Кассовые расходы проведены по факту начислений по судебным решениям</w:t>
            </w:r>
          </w:p>
        </w:tc>
      </w:tr>
      <w:tr w:rsidR="00504C97" w:rsidTr="004D36C1">
        <w:trPr>
          <w:cantSplit/>
          <w:trHeight w:val="85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lastRenderedPageBreak/>
              <w:t>079 0113 9940308370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-45 000,00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Кассовые расходы проведены по факту начислений штрафных санкций</w:t>
            </w:r>
          </w:p>
        </w:tc>
      </w:tr>
      <w:tr w:rsidR="00504C97" w:rsidTr="004D36C1">
        <w:trPr>
          <w:cantSplit/>
          <w:trHeight w:val="1118"/>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079 0409 601029Д003</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-50 129 790,01</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Оплата изъятия имущества под строительство по факту поступления документов</w:t>
            </w:r>
          </w:p>
        </w:tc>
      </w:tr>
      <w:tr w:rsidR="00504C97" w:rsidTr="004D36C1">
        <w:trPr>
          <w:cantSplit/>
          <w:trHeight w:val="2396"/>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079 0409 603029Д101</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-226 016 408,94</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Неисполнение связано с поздним доведением бюджетных ассигнований, расторжением государственного контракта по причине необходимости изменений проектных решений, нарушением подрядными организациями сроков исполнения и иных условий контрактов, не повлекшее судебные процедуры</w:t>
            </w:r>
          </w:p>
        </w:tc>
      </w:tr>
      <w:tr w:rsidR="00504C97">
        <w:trPr>
          <w:cantSplit/>
          <w:trHeight w:val="1123"/>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079 0409 603029Д601</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-17 421 815,05</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и превышения предельной базы для начислений страховых взносов</w:t>
            </w:r>
          </w:p>
        </w:tc>
      </w:tr>
      <w:tr w:rsidR="00504C97">
        <w:trPr>
          <w:cantSplit/>
          <w:trHeight w:val="155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079 0409 603039Д602</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-6 015 615,81</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и превышения предельной базы для начислений страховых взносов, а также экономия, сложившаяся по факту выполнения работ</w:t>
            </w:r>
          </w:p>
        </w:tc>
      </w:tr>
      <w:tr w:rsidR="00504C97">
        <w:trPr>
          <w:cantSplit/>
          <w:trHeight w:val="850"/>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499 0705 9940308210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-41 500,00</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связи с тем, что обучение было на безвозмездной основе</w:t>
            </w:r>
          </w:p>
        </w:tc>
      </w:tr>
      <w:tr w:rsidR="00504C97" w:rsidTr="004D36C1">
        <w:trPr>
          <w:cantSplit/>
          <w:trHeight w:val="1121"/>
        </w:trPr>
        <w:tc>
          <w:tcPr>
            <w:tcW w:w="2567" w:type="dxa"/>
            <w:shd w:val="clear" w:color="auto" w:fill="auto"/>
            <w:vAlign w:val="bottom"/>
          </w:tcPr>
          <w:p w:rsidR="00504C97" w:rsidRDefault="004D36C1">
            <w:pPr>
              <w:rPr>
                <w:rFonts w:ascii="PT Astra Serif" w:eastAsia="Times New Roman" w:hAnsi="PT Astra Serif" w:cs="Calibri"/>
                <w:sz w:val="25"/>
                <w:szCs w:val="25"/>
              </w:rPr>
            </w:pPr>
            <w:r>
              <w:rPr>
                <w:rFonts w:ascii="PT Astra Serif" w:eastAsia="Times New Roman" w:hAnsi="PT Astra Serif" w:cs="Calibri"/>
                <w:sz w:val="25"/>
                <w:szCs w:val="25"/>
              </w:rPr>
              <w:t>501 0113 9140302200</w:t>
            </w:r>
          </w:p>
        </w:tc>
        <w:tc>
          <w:tcPr>
            <w:tcW w:w="2126" w:type="dxa"/>
            <w:shd w:val="clear" w:color="auto" w:fill="auto"/>
            <w:noWrap/>
            <w:vAlign w:val="bottom"/>
          </w:tcPr>
          <w:p w:rsidR="00504C97" w:rsidRDefault="004D36C1">
            <w:pPr>
              <w:jc w:val="right"/>
              <w:rPr>
                <w:rFonts w:ascii="PT Astra Serif" w:eastAsia="Times New Roman" w:hAnsi="PT Astra Serif" w:cs="Calibri"/>
                <w:color w:val="000000"/>
                <w:sz w:val="25"/>
                <w:szCs w:val="25"/>
              </w:rPr>
            </w:pPr>
            <w:r>
              <w:rPr>
                <w:rFonts w:ascii="PT Astra Serif" w:eastAsia="Times New Roman" w:hAnsi="PT Astra Serif" w:cs="Calibri"/>
                <w:color w:val="000000"/>
                <w:sz w:val="25"/>
                <w:szCs w:val="25"/>
              </w:rPr>
              <w:t>-7 099 263,49</w:t>
            </w:r>
          </w:p>
        </w:tc>
        <w:tc>
          <w:tcPr>
            <w:tcW w:w="5103" w:type="dxa"/>
            <w:shd w:val="clear" w:color="auto" w:fill="auto"/>
            <w:vAlign w:val="center"/>
          </w:tcPr>
          <w:p w:rsidR="00504C97" w:rsidRDefault="004D36C1">
            <w:pPr>
              <w:jc w:val="both"/>
              <w:rPr>
                <w:rFonts w:ascii="PT Astra Serif" w:eastAsia="Times New Roman" w:hAnsi="PT Astra Serif" w:cs="Calibri"/>
                <w:sz w:val="25"/>
                <w:szCs w:val="25"/>
              </w:rPr>
            </w:pPr>
            <w:r>
              <w:rPr>
                <w:rFonts w:ascii="PT Astra Serif" w:eastAsia="Times New Roman" w:hAnsi="PT Astra Serif" w:cs="Calibri"/>
                <w:sz w:val="25"/>
                <w:szCs w:val="25"/>
              </w:rPr>
              <w:t>Экономия сложилась в результате наличия вакантных единиц и превышения предельной базы для начисления страховых взносов</w:t>
            </w:r>
          </w:p>
        </w:tc>
      </w:tr>
    </w:tbl>
    <w:p w:rsidR="00504C97" w:rsidRDefault="004D36C1">
      <w:pPr>
        <w:ind w:firstLine="700"/>
        <w:jc w:val="both"/>
        <w:rPr>
          <w:color w:val="000000"/>
        </w:rPr>
      </w:pPr>
      <w:r>
        <w:rPr>
          <w:rFonts w:ascii="PT Astra Serif" w:eastAsia="PT Astra Serif" w:hAnsi="PT Astra Serif" w:cs="PT Astra Serif"/>
          <w:color w:val="000000"/>
        </w:rPr>
        <w:t> </w:t>
      </w:r>
    </w:p>
    <w:p w:rsidR="00504C97" w:rsidRDefault="004D36C1" w:rsidP="00E90309">
      <w:pPr>
        <w:spacing w:line="264" w:lineRule="auto"/>
        <w:ind w:firstLine="720"/>
        <w:jc w:val="both"/>
        <w:rPr>
          <w:color w:val="000000"/>
        </w:rPr>
      </w:pPr>
      <w:r>
        <w:rPr>
          <w:rFonts w:ascii="PT Astra Serif" w:eastAsia="PT Astra Serif" w:hAnsi="PT Astra Serif" w:cs="PT Astra Serif"/>
          <w:color w:val="000000"/>
          <w:sz w:val="28"/>
          <w:szCs w:val="28"/>
        </w:rPr>
        <w:t>По состоянию на 1 января 2026 года размер государственного долга области составил 44 774 154,0 тыс. рублей. Структура государственного долга области полностью состоит из бюджетных кредитов.</w:t>
      </w:r>
    </w:p>
    <w:p w:rsidR="00504C97" w:rsidRDefault="004D36C1" w:rsidP="00E90309">
      <w:pPr>
        <w:spacing w:line="264" w:lineRule="auto"/>
        <w:ind w:firstLine="720"/>
        <w:jc w:val="both"/>
        <w:rPr>
          <w:color w:val="000000"/>
        </w:rPr>
      </w:pPr>
      <w:r>
        <w:rPr>
          <w:rFonts w:ascii="PT Astra Serif" w:eastAsia="PT Astra Serif" w:hAnsi="PT Astra Serif" w:cs="PT Astra Serif"/>
          <w:color w:val="000000"/>
          <w:sz w:val="28"/>
          <w:szCs w:val="28"/>
        </w:rPr>
        <w:t>Объем государственного долга области сократился с начала 2025 года на сумму 13 589 015,1 тыс. рублей и составил 35,6% к фактическому поступлению налоговых и неналоговых доходов областного бюджета за 2025 год.</w:t>
      </w:r>
    </w:p>
    <w:p w:rsidR="00504C97" w:rsidRDefault="004D36C1" w:rsidP="00E90309">
      <w:pPr>
        <w:spacing w:line="264" w:lineRule="auto"/>
        <w:ind w:firstLine="720"/>
        <w:jc w:val="both"/>
        <w:rPr>
          <w:color w:val="000000"/>
        </w:rPr>
      </w:pPr>
      <w:r>
        <w:rPr>
          <w:rFonts w:ascii="PT Astra Serif" w:eastAsia="PT Astra Serif" w:hAnsi="PT Astra Serif" w:cs="PT Astra Serif"/>
          <w:color w:val="000000"/>
          <w:sz w:val="28"/>
          <w:szCs w:val="28"/>
        </w:rPr>
        <w:lastRenderedPageBreak/>
        <w:t>Расходы на обслуживание государственного долга области за 2025 год составили 215 645,2 тыс. рублей и относительно соответствующего периода прошлого года снизились на 43,8%,</w:t>
      </w:r>
      <w:r>
        <w:rPr>
          <w:rFonts w:ascii="PT Astra Serif" w:eastAsia="PT Astra Serif" w:hAnsi="PT Astra Serif" w:cs="PT Astra Serif"/>
          <w:color w:val="FF0000"/>
          <w:sz w:val="28"/>
          <w:szCs w:val="28"/>
        </w:rPr>
        <w:t xml:space="preserve"> </w:t>
      </w:r>
      <w:r>
        <w:rPr>
          <w:rFonts w:ascii="PT Astra Serif" w:eastAsia="PT Astra Serif" w:hAnsi="PT Astra Serif" w:cs="PT Astra Serif"/>
          <w:color w:val="000000"/>
          <w:sz w:val="28"/>
          <w:szCs w:val="28"/>
        </w:rPr>
        <w:t>или 168 462,3 тыс. рублей.</w:t>
      </w:r>
    </w:p>
    <w:p w:rsidR="00504C97" w:rsidRDefault="004D36C1" w:rsidP="00E90309">
      <w:pPr>
        <w:spacing w:line="264"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rPr>
        <w:t>В 2025 году</w:t>
      </w:r>
      <w:r>
        <w:rPr>
          <w:rFonts w:ascii="PT Astra Serif" w:eastAsia="PT Astra Serif" w:hAnsi="PT Astra Serif" w:cs="PT Astra Serif"/>
          <w:color w:val="000000"/>
        </w:rPr>
        <w:t xml:space="preserve"> </w:t>
      </w:r>
      <w:r>
        <w:rPr>
          <w:rFonts w:ascii="PT Astra Serif" w:eastAsia="PT Astra Serif" w:hAnsi="PT Astra Serif" w:cs="PT Astra Serif"/>
          <w:color w:val="000000"/>
          <w:sz w:val="28"/>
          <w:szCs w:val="28"/>
        </w:rPr>
        <w:t xml:space="preserve">Саратовской областью из федерального бюджета привлечены казначейские </w:t>
      </w:r>
      <w:r>
        <w:rPr>
          <w:rFonts w:ascii="PT Astra Serif" w:eastAsia="Times New Roman" w:hAnsi="PT Astra Serif"/>
          <w:color w:val="000000"/>
          <w:sz w:val="28"/>
          <w:szCs w:val="28"/>
        </w:rPr>
        <w:t>инфраструктурные кредиты в общей сумме 2 610 147,0 тыс. рублей, в том числе в целях финансирования проекта, предусматривающего комплексную застройку территории бывшего аэропорта Саратов «Центральный» и проекта по созданию подготовленной инфраструктуры для производственной деятельности инвесторов в Саратовской области «</w:t>
      </w:r>
      <w:proofErr w:type="spellStart"/>
      <w:r>
        <w:rPr>
          <w:rFonts w:ascii="PT Astra Serif" w:eastAsia="Times New Roman" w:hAnsi="PT Astra Serif"/>
          <w:color w:val="000000"/>
          <w:sz w:val="28"/>
          <w:szCs w:val="28"/>
        </w:rPr>
        <w:t>Столыпинский</w:t>
      </w:r>
      <w:proofErr w:type="spellEnd"/>
      <w:r>
        <w:rPr>
          <w:rFonts w:ascii="PT Astra Serif" w:eastAsia="Times New Roman" w:hAnsi="PT Astra Serif"/>
          <w:color w:val="000000"/>
          <w:sz w:val="28"/>
          <w:szCs w:val="28"/>
        </w:rPr>
        <w:t xml:space="preserve"> индустриальный парк» (вторая очередь) в сумме 1 727 783,0 тыс. рублей, а также на реализацию инфраструктурных проектов в сфере жилищно-коммунального хозяйства в общей сумме 882 364,0 тыс. рублей.</w:t>
      </w:r>
    </w:p>
    <w:p w:rsidR="00504C97" w:rsidRDefault="004D36C1" w:rsidP="00E90309">
      <w:pPr>
        <w:spacing w:line="264" w:lineRule="auto"/>
        <w:ind w:firstLine="720"/>
        <w:jc w:val="both"/>
        <w:rPr>
          <w:color w:val="000000"/>
        </w:rPr>
      </w:pPr>
      <w:r>
        <w:rPr>
          <w:rFonts w:ascii="PT Astra Serif" w:eastAsia="Times New Roman" w:hAnsi="PT Astra Serif"/>
          <w:color w:val="000000"/>
          <w:sz w:val="28"/>
          <w:szCs w:val="28"/>
        </w:rPr>
        <w:t>В соответствии с приказами Министерства финансов Российской Федерации от 1 сентября 2025 № 297 и от 5 ноября 2025 года № 409 в течение 2025 года Саратовской области списана реструктурированная задолженность по бюджетным кредитам в объеме фактически осуществленных расходов областного бюджета в 2024 году и в течение 8 месяцев 2025 года в сумме 12 359 600,9 тыс. рублей.</w:t>
      </w:r>
    </w:p>
    <w:p w:rsidR="00504C97" w:rsidRDefault="004D36C1" w:rsidP="00E90309">
      <w:pPr>
        <w:spacing w:line="264" w:lineRule="auto"/>
        <w:ind w:firstLine="720"/>
        <w:jc w:val="both"/>
        <w:rPr>
          <w:rFonts w:ascii="PT Astra Serif" w:eastAsia="Times New Roman" w:hAnsi="PT Astra Serif"/>
          <w:color w:val="000000"/>
          <w:sz w:val="28"/>
          <w:szCs w:val="28"/>
        </w:rPr>
      </w:pPr>
      <w:r>
        <w:rPr>
          <w:rFonts w:ascii="PT Astra Serif" w:eastAsia="Times New Roman" w:hAnsi="PT Astra Serif"/>
          <w:color w:val="000000"/>
          <w:sz w:val="28"/>
          <w:szCs w:val="28"/>
        </w:rPr>
        <w:t>За счет собственных средств областного бюджета в 2025 году погашена задолженность перед федеральным бюджетом в соответствии с графиками погашения, прилагаемыми к соглашениям, заключенным с Министерством финансов Российской Федерации и Федеральным казначейством, в общей сумме 3 839 561,2 тыс. рублей, в том числе: реструктурированная задолженность в сумме 3 497 112,0 тыс. рублей, задолженность по инфраструктурным бюджетным кредитам в сумме 210 708,4 тыс. рублей и по специальным казначейским кредитам в сумме 131 740,8 тыс. рублей.</w:t>
      </w:r>
    </w:p>
    <w:p w:rsidR="00504C97" w:rsidRDefault="004D36C1" w:rsidP="00E90309">
      <w:pPr>
        <w:spacing w:line="264" w:lineRule="auto"/>
        <w:ind w:firstLine="720"/>
        <w:jc w:val="both"/>
        <w:rPr>
          <w:rFonts w:ascii="PT Astra Serif" w:eastAsia="Times New Roman" w:hAnsi="PT Astra Serif"/>
          <w:color w:val="000000"/>
          <w:sz w:val="28"/>
          <w:szCs w:val="28"/>
        </w:rPr>
      </w:pPr>
      <w:r>
        <w:rPr>
          <w:rFonts w:ascii="PT Astra Serif" w:eastAsia="Times New Roman" w:hAnsi="PT Astra Serif"/>
          <w:color w:val="000000"/>
          <w:sz w:val="28"/>
          <w:szCs w:val="28"/>
        </w:rPr>
        <w:t xml:space="preserve">Для исполнения расходных обязательств в декабре 2025 года областным бюджетом был привлечен бюджетный кредит на пополнение остатка средств на едином счете бюджета в сумме 2 000 000,0 тыс. рублей, который был погашен за счет привлеченных в той же сумме банковских заимствований. Указанные банковские заимствования 30 декабря 2025 года были погашены в полном объеме за счет собственных средств областного бюджета. </w:t>
      </w:r>
    </w:p>
    <w:p w:rsidR="00504C97" w:rsidRDefault="004D36C1" w:rsidP="00E90309">
      <w:pPr>
        <w:spacing w:line="264" w:lineRule="auto"/>
        <w:ind w:firstLine="720"/>
        <w:jc w:val="both"/>
        <w:rPr>
          <w:color w:val="000000"/>
        </w:rPr>
      </w:pPr>
      <w:r>
        <w:rPr>
          <w:rFonts w:ascii="PT Astra Serif" w:eastAsia="Times New Roman" w:hAnsi="PT Astra Serif"/>
          <w:color w:val="000000"/>
          <w:sz w:val="28"/>
          <w:szCs w:val="28"/>
        </w:rPr>
        <w:t>Задолженность Саратовской области перед коммерческими кредитными организациями по состоянию на 1 января 2026 года отсутствует.</w:t>
      </w:r>
    </w:p>
    <w:p w:rsidR="00504C97" w:rsidRDefault="004D36C1" w:rsidP="00E90309">
      <w:pPr>
        <w:spacing w:line="264" w:lineRule="auto"/>
        <w:ind w:firstLine="720"/>
        <w:jc w:val="both"/>
        <w:rPr>
          <w:rFonts w:ascii="PT Astra Serif" w:hAnsi="PT Astra Serif" w:cs="PT Astra Serif"/>
          <w:sz w:val="28"/>
          <w:szCs w:val="28"/>
        </w:rPr>
      </w:pPr>
      <w:r>
        <w:rPr>
          <w:rFonts w:ascii="PT Astra Serif" w:hAnsi="PT Astra Serif" w:cs="PT Astra Serif"/>
          <w:sz w:val="28"/>
          <w:szCs w:val="28"/>
        </w:rPr>
        <w:t>По состоянию на 1 января 2026 года задолженность Саратовской области перед федеральным бюджетом по бюджетным кредитам составила –</w:t>
      </w:r>
      <w:r>
        <w:rPr>
          <w:rFonts w:ascii="PT Astra Serif" w:hAnsi="PT Astra Serif" w:cs="PT Astra Serif"/>
          <w:sz w:val="28"/>
          <w:szCs w:val="28"/>
        </w:rPr>
        <w:br/>
        <w:t>44 774 154,0 тыс. рублей, в том числе:</w:t>
      </w:r>
    </w:p>
    <w:p w:rsidR="00504C97" w:rsidRDefault="004D36C1" w:rsidP="00E90309">
      <w:pPr>
        <w:spacing w:line="264" w:lineRule="auto"/>
        <w:ind w:firstLine="720"/>
        <w:jc w:val="both"/>
        <w:rPr>
          <w:rFonts w:ascii="PT Astra Serif" w:hAnsi="PT Astra Serif" w:cs="PT Astra Serif"/>
          <w:sz w:val="28"/>
          <w:szCs w:val="28"/>
        </w:rPr>
      </w:pPr>
      <w:r>
        <w:rPr>
          <w:rFonts w:ascii="PT Astra Serif" w:hAnsi="PT Astra Serif" w:cs="PT Astra Serif"/>
          <w:sz w:val="28"/>
          <w:szCs w:val="28"/>
        </w:rPr>
        <w:t xml:space="preserve">реструктурированная задолженность по бюджетным кредитам, предоставленным на строительство, реконструкцию, капитальный ремонт, </w:t>
      </w:r>
      <w:r>
        <w:rPr>
          <w:rFonts w:ascii="PT Astra Serif" w:hAnsi="PT Astra Serif" w:cs="PT Astra Serif"/>
          <w:sz w:val="28"/>
          <w:szCs w:val="28"/>
        </w:rPr>
        <w:lastRenderedPageBreak/>
        <w:t>ремонт и содержание автомобильных дорог общего пользования</w:t>
      </w:r>
      <w:r>
        <w:rPr>
          <w:rFonts w:ascii="PT Astra Serif" w:hAnsi="PT Astra Serif" w:cs="PT Astra Serif"/>
          <w:sz w:val="28"/>
          <w:szCs w:val="28"/>
        </w:rPr>
        <w:br/>
        <w:t xml:space="preserve">(за исключением автомобильных дорог федерального значения), для частичного покрытия дефицита бюджета, для погашения бюджетных кредитов на пополнение остатков средств на счетах бюджетов субъектов Российской Федерации, в целях погашения долговых обязательств по рыночным заимствованиям области и муниципальных образований – </w:t>
      </w:r>
      <w:r w:rsidR="00E90309">
        <w:rPr>
          <w:rFonts w:ascii="PT Astra Serif" w:hAnsi="PT Astra Serif" w:cs="PT Astra Serif"/>
          <w:sz w:val="28"/>
          <w:szCs w:val="28"/>
        </w:rPr>
        <w:br/>
      </w:r>
      <w:r>
        <w:rPr>
          <w:rFonts w:ascii="PT Astra Serif" w:hAnsi="PT Astra Serif" w:cs="PT Astra Serif"/>
          <w:sz w:val="28"/>
          <w:szCs w:val="28"/>
        </w:rPr>
        <w:t>36 429 148,1</w:t>
      </w:r>
      <w:r w:rsidR="00E90309">
        <w:rPr>
          <w:rFonts w:ascii="PT Astra Serif" w:hAnsi="PT Astra Serif" w:cs="PT Astra Serif"/>
          <w:sz w:val="28"/>
          <w:szCs w:val="28"/>
        </w:rPr>
        <w:t xml:space="preserve"> </w:t>
      </w:r>
      <w:r>
        <w:rPr>
          <w:rFonts w:ascii="PT Astra Serif" w:hAnsi="PT Astra Serif" w:cs="PT Astra Serif"/>
          <w:sz w:val="28"/>
          <w:szCs w:val="28"/>
        </w:rPr>
        <w:t>тыс. рублей;</w:t>
      </w:r>
    </w:p>
    <w:p w:rsidR="00504C97" w:rsidRDefault="004D36C1" w:rsidP="00E90309">
      <w:pPr>
        <w:spacing w:line="264" w:lineRule="auto"/>
        <w:ind w:firstLine="720"/>
        <w:jc w:val="both"/>
        <w:rPr>
          <w:rFonts w:ascii="PT Astra Serif" w:hAnsi="PT Astra Serif" w:cs="PT Astra Serif"/>
          <w:sz w:val="28"/>
          <w:szCs w:val="28"/>
        </w:rPr>
      </w:pPr>
      <w:r>
        <w:rPr>
          <w:rFonts w:ascii="PT Astra Serif" w:hAnsi="PT Astra Serif" w:cs="PT Astra Serif"/>
          <w:sz w:val="28"/>
          <w:szCs w:val="28"/>
        </w:rPr>
        <w:t>задолженность по бюджетным кредитам, предоставленным</w:t>
      </w:r>
      <w:r>
        <w:rPr>
          <w:rFonts w:ascii="PT Astra Serif" w:hAnsi="PT Astra Serif" w:cs="PT Astra Serif"/>
          <w:spacing w:val="-6"/>
          <w:sz w:val="28"/>
          <w:szCs w:val="28"/>
        </w:rPr>
        <w:t xml:space="preserve"> на финансовое обеспечение реализации инфраструктурных проектов (инфраструктурные бюджетные кредиты) – 4 032 001,7 тыс. рублей;</w:t>
      </w:r>
    </w:p>
    <w:p w:rsidR="00504C97" w:rsidRDefault="004D36C1" w:rsidP="00E90309">
      <w:pPr>
        <w:spacing w:line="264" w:lineRule="auto"/>
        <w:ind w:firstLine="720"/>
        <w:jc w:val="both"/>
        <w:rPr>
          <w:rFonts w:ascii="PT Astra Serif" w:hAnsi="PT Astra Serif" w:cs="PT Astra Serif"/>
          <w:spacing w:val="-6"/>
          <w:sz w:val="28"/>
          <w:szCs w:val="28"/>
        </w:rPr>
      </w:pPr>
      <w:r>
        <w:rPr>
          <w:rFonts w:ascii="PT Astra Serif" w:hAnsi="PT Astra Serif" w:cs="PT Astra Serif"/>
          <w:sz w:val="28"/>
          <w:szCs w:val="28"/>
        </w:rPr>
        <w:t>задолженность по специальным казначейским кредитам</w:t>
      </w:r>
      <w:r>
        <w:rPr>
          <w:rFonts w:ascii="PT Astra Serif" w:hAnsi="PT Astra Serif" w:cs="PT Astra Serif"/>
          <w:spacing w:val="-6"/>
          <w:sz w:val="28"/>
          <w:szCs w:val="28"/>
        </w:rPr>
        <w:t xml:space="preserve"> - 1 702 857,2</w:t>
      </w:r>
      <w:r>
        <w:rPr>
          <w:rFonts w:ascii="PT Astra Serif" w:hAnsi="PT Astra Serif" w:cs="PT Astra Serif"/>
          <w:spacing w:val="-6"/>
          <w:sz w:val="28"/>
          <w:szCs w:val="28"/>
        </w:rPr>
        <w:br/>
        <w:t>тыс. рублей;</w:t>
      </w:r>
    </w:p>
    <w:p w:rsidR="00504C97" w:rsidRDefault="004D36C1" w:rsidP="00E90309">
      <w:pPr>
        <w:spacing w:line="264" w:lineRule="auto"/>
        <w:ind w:firstLine="720"/>
        <w:jc w:val="both"/>
        <w:rPr>
          <w:color w:val="000000"/>
        </w:rPr>
      </w:pPr>
      <w:r>
        <w:rPr>
          <w:rFonts w:ascii="PT Astra Serif" w:hAnsi="PT Astra Serif" w:cs="PT Astra Serif"/>
          <w:sz w:val="28"/>
          <w:szCs w:val="28"/>
        </w:rPr>
        <w:t>задолженность по казначейским инфраструктурным кредитам</w:t>
      </w:r>
      <w:r>
        <w:rPr>
          <w:rFonts w:ascii="PT Astra Serif" w:hAnsi="PT Astra Serif" w:cs="PT Astra Serif"/>
          <w:spacing w:val="-6"/>
          <w:sz w:val="28"/>
          <w:szCs w:val="28"/>
        </w:rPr>
        <w:t xml:space="preserve"> - </w:t>
      </w:r>
      <w:r w:rsidR="00E90309">
        <w:rPr>
          <w:rFonts w:ascii="PT Astra Serif" w:hAnsi="PT Astra Serif" w:cs="PT Astra Serif"/>
          <w:spacing w:val="-6"/>
          <w:sz w:val="28"/>
          <w:szCs w:val="28"/>
        </w:rPr>
        <w:br/>
      </w:r>
      <w:r>
        <w:rPr>
          <w:rFonts w:ascii="PT Astra Serif" w:hAnsi="PT Astra Serif" w:cs="PT Astra Serif"/>
          <w:spacing w:val="-6"/>
          <w:sz w:val="28"/>
          <w:szCs w:val="28"/>
        </w:rPr>
        <w:t>2 610 147,0 тыс. рублей;</w:t>
      </w:r>
    </w:p>
    <w:p w:rsidR="00504C97" w:rsidRDefault="004D36C1" w:rsidP="00E90309">
      <w:pPr>
        <w:spacing w:line="264" w:lineRule="auto"/>
        <w:ind w:firstLine="720"/>
        <w:jc w:val="both"/>
        <w:rPr>
          <w:rFonts w:ascii="PT Astra Serif" w:hAnsi="PT Astra Serif" w:cs="PT Astra Serif"/>
          <w:sz w:val="28"/>
          <w:szCs w:val="28"/>
        </w:rPr>
      </w:pPr>
      <w:r>
        <w:rPr>
          <w:rFonts w:ascii="PT Astra Serif" w:hAnsi="PT Astra Serif" w:cs="PT Astra Serif"/>
          <w:sz w:val="28"/>
          <w:szCs w:val="28"/>
        </w:rPr>
        <w:t xml:space="preserve">В течение 2025 года </w:t>
      </w:r>
      <w:r>
        <w:rPr>
          <w:rFonts w:ascii="PT Astra Serif" w:eastAsia="PT Astra Serif" w:hAnsi="PT Astra Serif" w:cs="PT Astra Serif"/>
          <w:color w:val="000000"/>
          <w:sz w:val="28"/>
          <w:szCs w:val="28"/>
        </w:rPr>
        <w:t>муниципальным образованиям области предоставлены бюджетные кредиты для устранения временных кассовых разрывов, возникающих при исполнении местных бюджетов, в сумме</w:t>
      </w:r>
      <w:r>
        <w:rPr>
          <w:rFonts w:ascii="PT Astra Serif" w:eastAsia="PT Astra Serif" w:hAnsi="PT Astra Serif" w:cs="PT Astra Serif"/>
          <w:color w:val="000000"/>
          <w:sz w:val="28"/>
          <w:szCs w:val="28"/>
        </w:rPr>
        <w:br/>
      </w:r>
      <w:r>
        <w:rPr>
          <w:rFonts w:ascii="PT Astra Serif" w:hAnsi="PT Astra Serif" w:cs="PT Astra Serif"/>
          <w:sz w:val="28"/>
          <w:szCs w:val="28"/>
        </w:rPr>
        <w:t>456 640,0 тыс. рублей.</w:t>
      </w:r>
    </w:p>
    <w:p w:rsidR="00504C97" w:rsidRDefault="004D36C1" w:rsidP="00E90309">
      <w:pPr>
        <w:spacing w:line="264" w:lineRule="auto"/>
        <w:ind w:firstLine="720"/>
        <w:jc w:val="both"/>
        <w:rPr>
          <w:color w:val="000000"/>
        </w:rPr>
      </w:pPr>
      <w:r>
        <w:rPr>
          <w:rFonts w:ascii="PT Astra Serif" w:eastAsia="PT Astra Serif" w:hAnsi="PT Astra Serif" w:cs="PT Astra Serif"/>
          <w:color w:val="000000"/>
          <w:sz w:val="28"/>
          <w:szCs w:val="28"/>
        </w:rPr>
        <w:t>Муниципальными образованиями в 2025 году осуществлен возврат в областной бюджет бюджетных кредитов в общей сумме 1 747 692,9 тыс. рублей, в том числе предоставленных в целях:</w:t>
      </w:r>
    </w:p>
    <w:p w:rsidR="00504C97" w:rsidRDefault="004D36C1" w:rsidP="00E90309">
      <w:pPr>
        <w:spacing w:line="264" w:lineRule="auto"/>
        <w:ind w:firstLine="720"/>
        <w:jc w:val="both"/>
        <w:rPr>
          <w:color w:val="000000"/>
        </w:rPr>
      </w:pPr>
      <w:r>
        <w:rPr>
          <w:rFonts w:ascii="PT Astra Serif" w:eastAsia="PT Astra Serif" w:hAnsi="PT Astra Serif" w:cs="PT Astra Serif"/>
          <w:color w:val="000000"/>
          <w:sz w:val="28"/>
          <w:szCs w:val="28"/>
        </w:rPr>
        <w:t>частичного покрытия дефицитов местных бюджетов - 124 824,5</w:t>
      </w:r>
      <w:r>
        <w:rPr>
          <w:rFonts w:ascii="PT Astra Serif" w:eastAsia="PT Astra Serif" w:hAnsi="PT Astra Serif" w:cs="PT Astra Serif"/>
          <w:color w:val="000000"/>
          <w:sz w:val="28"/>
          <w:szCs w:val="28"/>
        </w:rPr>
        <w:br/>
        <w:t>тыс. рублей;</w:t>
      </w:r>
    </w:p>
    <w:p w:rsidR="00504C97" w:rsidRDefault="004D36C1" w:rsidP="00E90309">
      <w:pPr>
        <w:spacing w:line="264" w:lineRule="auto"/>
        <w:ind w:firstLine="720"/>
        <w:jc w:val="both"/>
        <w:rPr>
          <w:color w:val="000000"/>
        </w:rPr>
      </w:pPr>
      <w:r>
        <w:rPr>
          <w:rFonts w:ascii="PT Astra Serif" w:eastAsia="PT Astra Serif" w:hAnsi="PT Astra Serif" w:cs="PT Astra Serif"/>
          <w:color w:val="000000"/>
          <w:sz w:val="28"/>
          <w:szCs w:val="28"/>
        </w:rPr>
        <w:t>погашения долговых обязательств по рыночным заимствованиям -</w:t>
      </w:r>
      <w:r>
        <w:rPr>
          <w:rFonts w:ascii="PT Astra Serif" w:eastAsia="PT Astra Serif" w:hAnsi="PT Astra Serif" w:cs="PT Astra Serif"/>
          <w:color w:val="000000"/>
          <w:sz w:val="28"/>
          <w:szCs w:val="28"/>
        </w:rPr>
        <w:br/>
        <w:t>1 166 228,4</w:t>
      </w:r>
      <w:r>
        <w:rPr>
          <w:rFonts w:ascii="Calibri" w:eastAsia="Calibri" w:hAnsi="Calibri" w:cs="Calibri"/>
          <w:color w:val="000000"/>
        </w:rPr>
        <w:t xml:space="preserve"> </w:t>
      </w:r>
      <w:r>
        <w:rPr>
          <w:rFonts w:ascii="PT Astra Serif" w:eastAsia="PT Astra Serif" w:hAnsi="PT Astra Serif" w:cs="PT Astra Serif"/>
          <w:color w:val="000000"/>
          <w:sz w:val="28"/>
          <w:szCs w:val="28"/>
        </w:rPr>
        <w:t>тыс. рублей;</w:t>
      </w:r>
    </w:p>
    <w:p w:rsidR="00504C97" w:rsidRDefault="004D36C1" w:rsidP="00E90309">
      <w:pPr>
        <w:spacing w:line="264" w:lineRule="auto"/>
        <w:ind w:firstLine="720"/>
        <w:jc w:val="both"/>
        <w:rPr>
          <w:color w:val="000000"/>
        </w:rPr>
      </w:pPr>
      <w:r>
        <w:rPr>
          <w:rFonts w:ascii="PT Astra Serif" w:eastAsia="PT Astra Serif" w:hAnsi="PT Astra Serif" w:cs="PT Astra Serif"/>
          <w:color w:val="000000"/>
          <w:sz w:val="28"/>
          <w:szCs w:val="28"/>
        </w:rPr>
        <w:t>устранения временных кассовых разрывов, возникающих при исполнении местных бюджетов - 456 640,0 тыс. рублей.</w:t>
      </w:r>
    </w:p>
    <w:p w:rsidR="00504C97" w:rsidRDefault="004D36C1" w:rsidP="00E90309">
      <w:pPr>
        <w:spacing w:line="264" w:lineRule="auto"/>
        <w:ind w:firstLine="720"/>
        <w:jc w:val="both"/>
        <w:rPr>
          <w:rFonts w:ascii="PT Astra Serif" w:hAnsi="PT Astra Serif" w:cs="PT Astra Serif"/>
          <w:sz w:val="28"/>
          <w:szCs w:val="28"/>
        </w:rPr>
      </w:pPr>
      <w:r>
        <w:rPr>
          <w:rFonts w:ascii="PT Astra Serif" w:hAnsi="PT Astra Serif" w:cs="PT Astra Serif"/>
          <w:sz w:val="28"/>
          <w:szCs w:val="28"/>
        </w:rPr>
        <w:t>Просроченных долговых обязательств муниципальных образований перед областным бюджетом не имеется.</w:t>
      </w:r>
    </w:p>
    <w:p w:rsidR="00504C97" w:rsidRDefault="004D36C1" w:rsidP="00E90309">
      <w:pPr>
        <w:spacing w:line="264" w:lineRule="auto"/>
        <w:ind w:firstLine="720"/>
        <w:jc w:val="both"/>
        <w:rPr>
          <w:color w:val="000000"/>
        </w:rPr>
      </w:pPr>
      <w:r>
        <w:rPr>
          <w:rFonts w:ascii="PT Astra Serif" w:eastAsia="PT Astra Serif" w:hAnsi="PT Astra Serif" w:cs="PT Astra Serif"/>
          <w:color w:val="000000"/>
          <w:sz w:val="28"/>
          <w:szCs w:val="28"/>
        </w:rPr>
        <w:t>Параметры государственного долга области и расходов на его обслуживание за 2025 год соответствуют ограничениям, установленным Бюджетным кодексом Российской Федерации.</w:t>
      </w:r>
    </w:p>
    <w:p w:rsidR="00504C97" w:rsidRDefault="00504C97" w:rsidP="00E90309">
      <w:pPr>
        <w:spacing w:line="264" w:lineRule="auto"/>
        <w:ind w:firstLine="700"/>
        <w:jc w:val="center"/>
        <w:rPr>
          <w:color w:val="000000"/>
        </w:rPr>
      </w:pPr>
    </w:p>
    <w:p w:rsidR="00504C97" w:rsidRDefault="004D36C1" w:rsidP="00E90309">
      <w:pPr>
        <w:spacing w:line="264" w:lineRule="auto"/>
        <w:ind w:firstLine="700"/>
        <w:jc w:val="center"/>
        <w:rPr>
          <w:rFonts w:ascii="PT Astra Serif" w:eastAsia="PT Astra Serif" w:hAnsi="PT Astra Serif" w:cs="PT Astra Serif"/>
          <w:b/>
          <w:bCs/>
          <w:color w:val="000000"/>
          <w:sz w:val="28"/>
          <w:szCs w:val="28"/>
        </w:rPr>
      </w:pPr>
      <w:r>
        <w:rPr>
          <w:rFonts w:ascii="PT Astra Serif" w:eastAsia="PT Astra Serif" w:hAnsi="PT Astra Serif" w:cs="PT Astra Serif"/>
          <w:b/>
          <w:color w:val="000000"/>
          <w:sz w:val="28"/>
          <w:szCs w:val="28"/>
          <w:shd w:val="clear" w:color="auto" w:fill="FFFFFF"/>
        </w:rPr>
        <w:t>Раздел 4 «Анализ показателей бухгалтерской отчетности субъекта бюджетной отчетности»</w:t>
      </w:r>
    </w:p>
    <w:p w:rsidR="00504C97" w:rsidRDefault="004D36C1" w:rsidP="00E90309">
      <w:pPr>
        <w:spacing w:line="264" w:lineRule="auto"/>
        <w:ind w:firstLine="700"/>
        <w:jc w:val="center"/>
        <w:rPr>
          <w:color w:val="000000"/>
        </w:rPr>
      </w:pPr>
      <w:r>
        <w:rPr>
          <w:rFonts w:ascii="PT Astra Serif" w:eastAsia="PT Astra Serif" w:hAnsi="PT Astra Serif" w:cs="PT Astra Serif"/>
          <w:b/>
          <w:color w:val="000000"/>
          <w:sz w:val="24"/>
          <w:szCs w:val="24"/>
          <w:shd w:val="clear" w:color="auto" w:fill="FFFFFF"/>
        </w:rPr>
        <w:t> </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xml:space="preserve">За 2025 год из федерального бюджета, бюджетов субъектов Российской Федерации, бюджетов муниципальных образований области в государственную собственность Саратовской области передано и поставлено на учет имущество в сумме 3 962 801,3 тыс. рублей, передано из государственной собственности области в федеральную собственность, </w:t>
      </w:r>
      <w:r>
        <w:rPr>
          <w:rFonts w:ascii="PT Astra Serif" w:eastAsia="PT Astra Serif" w:hAnsi="PT Astra Serif" w:cs="PT Astra Serif"/>
          <w:color w:val="000000"/>
          <w:sz w:val="28"/>
          <w:szCs w:val="28"/>
          <w:shd w:val="clear" w:color="auto" w:fill="FFFFFF"/>
        </w:rPr>
        <w:lastRenderedPageBreak/>
        <w:t>собственность бюджетов субъектов Российской Федерации и муниципальных образований области имущество в сумме 1 493 220,4 тыс. рублей.</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xml:space="preserve">Подробные сведения о движении нефинансовых активов представлены в приложении к Пояснительной записке ф. 0503168 «Сведения о движении нефинансовых активов», в Справке по консолидируемым расчетам ф. 0503125 (счет 1 401 10 191 «Доходы от безвозмездных </w:t>
      </w:r>
      <w:proofErr w:type="spellStart"/>
      <w:r>
        <w:rPr>
          <w:rFonts w:ascii="PT Astra Serif" w:eastAsia="PT Astra Serif" w:hAnsi="PT Astra Serif" w:cs="PT Astra Serif"/>
          <w:color w:val="000000"/>
          <w:sz w:val="28"/>
          <w:szCs w:val="28"/>
          <w:shd w:val="clear" w:color="auto" w:fill="FFFFFF"/>
        </w:rPr>
        <w:t>неденежных</w:t>
      </w:r>
      <w:proofErr w:type="spellEnd"/>
      <w:r>
        <w:rPr>
          <w:rFonts w:ascii="PT Astra Serif" w:eastAsia="PT Astra Serif" w:hAnsi="PT Astra Serif" w:cs="PT Astra Serif"/>
          <w:color w:val="000000"/>
          <w:sz w:val="28"/>
          <w:szCs w:val="28"/>
          <w:shd w:val="clear" w:color="auto" w:fill="FFFFFF"/>
        </w:rPr>
        <w:t xml:space="preserve"> поступлений текущего характера от сектора государственного управления и организаций государственного сектора», 1 401 10 195 «Доходы от безвозмездных </w:t>
      </w:r>
      <w:proofErr w:type="spellStart"/>
      <w:r>
        <w:rPr>
          <w:rFonts w:ascii="PT Astra Serif" w:eastAsia="PT Astra Serif" w:hAnsi="PT Astra Serif" w:cs="PT Astra Serif"/>
          <w:color w:val="000000"/>
          <w:sz w:val="28"/>
          <w:szCs w:val="28"/>
          <w:shd w:val="clear" w:color="auto" w:fill="FFFFFF"/>
        </w:rPr>
        <w:t>неденежных</w:t>
      </w:r>
      <w:proofErr w:type="spellEnd"/>
      <w:r>
        <w:rPr>
          <w:rFonts w:ascii="PT Astra Serif" w:eastAsia="PT Astra Serif" w:hAnsi="PT Astra Serif" w:cs="PT Astra Serif"/>
          <w:color w:val="000000"/>
          <w:sz w:val="28"/>
          <w:szCs w:val="28"/>
          <w:shd w:val="clear" w:color="auto" w:fill="FFFFFF"/>
        </w:rPr>
        <w:t xml:space="preserve"> поступлений капитального характера от сектора государственного управления и организаций государственного сектора», 1 401 20 251 «Расходы на перечисления другим бюджетам бюджетной системы Российской Федерации», 1 401 20 254 «Расходы на перечисления капитального характера другим бюджетам бюджетной системы Российской Федерации»).</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В течение 2025 года объем кредиторской задолженности по областному бюджету увеличился на 10 338 799,6 тыс. рублей и на 1 января 2026 года составил 11 580 720,7 тыс. рублей, в том числе 696 320,8 тыс. рублей начисления по доходам Федеральной налоговой службы, 10 500 000,0 тыс. рублей остатки средств на казначейских счетах для осуществления и отражения операций с денежными средствами бюджетных и автономных учреждений, а также участников казначейского сопровождения в рамках проведения операций по управлению остатками средств на едином счете бюджета, привлеченные на единый счет бюджета.</w:t>
      </w:r>
    </w:p>
    <w:p w:rsidR="00504C97" w:rsidRDefault="004D36C1" w:rsidP="00E90309">
      <w:pPr>
        <w:spacing w:line="264" w:lineRule="auto"/>
        <w:ind w:firstLine="720"/>
        <w:jc w:val="both"/>
        <w:rPr>
          <w:rFonts w:ascii="PT Astra Serif" w:hAnsi="PT Astra Serif" w:cs="PT Astra Serif"/>
          <w:color w:val="000000"/>
          <w:sz w:val="28"/>
          <w:szCs w:val="28"/>
        </w:rPr>
      </w:pPr>
      <w:r>
        <w:rPr>
          <w:rFonts w:ascii="PT Astra Serif" w:eastAsia="PT Astra Serif" w:hAnsi="PT Astra Serif" w:cs="PT Astra Serif"/>
          <w:color w:val="000000"/>
          <w:sz w:val="28"/>
          <w:szCs w:val="28"/>
          <w:shd w:val="clear" w:color="auto" w:fill="FFFFFF"/>
        </w:rPr>
        <w:t>Просроченная кредиторская задолженность областного бюджета на</w:t>
      </w:r>
      <w:r>
        <w:rPr>
          <w:rFonts w:ascii="PT Astra Serif" w:eastAsia="PT Astra Serif" w:hAnsi="PT Astra Serif" w:cs="PT Astra Serif"/>
          <w:color w:val="000000"/>
          <w:sz w:val="28"/>
          <w:szCs w:val="28"/>
          <w:shd w:val="clear" w:color="auto" w:fill="FFFFFF"/>
        </w:rPr>
        <w:br/>
        <w:t>1 января 2025 года составляла 823,8 тыс. рублей, числилась по прочим доходам от сумм принудительного изъятия за Главным управлением Министерства внутренних дел Российской Федерации по Саратовской области и была списана в течение 2025 года.</w:t>
      </w:r>
      <w:r>
        <w:rPr>
          <w:rFonts w:ascii="PT Astra Serif" w:hAnsi="PT Astra Serif"/>
          <w:color w:val="000000"/>
          <w:sz w:val="28"/>
          <w:szCs w:val="28"/>
        </w:rPr>
        <w:t xml:space="preserve"> </w:t>
      </w:r>
      <w:r>
        <w:rPr>
          <w:rFonts w:ascii="PT Astra Serif" w:hAnsi="PT Astra Serif" w:cs="PT Astra Serif"/>
          <w:color w:val="000000"/>
          <w:sz w:val="28"/>
          <w:szCs w:val="28"/>
        </w:rPr>
        <w:t>По состоянию на 1 января 2026 года просроченная кредиторская задолженность областного бюджета отсутствует.</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Объем дебиторской задолженности по областному бюджету увеличился  на 488 670,0 тыс. рублей и на 1 января 2</w:t>
      </w:r>
      <w:r w:rsidR="00E90309">
        <w:rPr>
          <w:rFonts w:ascii="PT Astra Serif" w:eastAsia="PT Astra Serif" w:hAnsi="PT Astra Serif" w:cs="PT Astra Serif"/>
          <w:color w:val="000000"/>
          <w:sz w:val="28"/>
          <w:szCs w:val="28"/>
          <w:shd w:val="clear" w:color="auto" w:fill="FFFFFF"/>
        </w:rPr>
        <w:t xml:space="preserve">026 года составил </w:t>
      </w:r>
      <w:r w:rsidR="000930F8">
        <w:rPr>
          <w:rFonts w:ascii="PT Astra Serif" w:eastAsia="PT Astra Serif" w:hAnsi="PT Astra Serif" w:cs="PT Astra Serif"/>
          <w:color w:val="000000"/>
          <w:sz w:val="28"/>
          <w:szCs w:val="28"/>
          <w:shd w:val="clear" w:color="auto" w:fill="FFFFFF"/>
        </w:rPr>
        <w:br/>
      </w:r>
      <w:bookmarkStart w:id="1" w:name="_GoBack"/>
      <w:bookmarkEnd w:id="1"/>
      <w:r w:rsidR="00E90309">
        <w:rPr>
          <w:rFonts w:ascii="PT Astra Serif" w:eastAsia="PT Astra Serif" w:hAnsi="PT Astra Serif" w:cs="PT Astra Serif"/>
          <w:color w:val="000000"/>
          <w:sz w:val="28"/>
          <w:szCs w:val="28"/>
          <w:shd w:val="clear" w:color="auto" w:fill="FFFFFF"/>
        </w:rPr>
        <w:t xml:space="preserve">140 662 567,5 </w:t>
      </w:r>
      <w:r>
        <w:rPr>
          <w:rFonts w:ascii="PT Astra Serif" w:eastAsia="PT Astra Serif" w:hAnsi="PT Astra Serif" w:cs="PT Astra Serif"/>
          <w:color w:val="000000"/>
          <w:sz w:val="28"/>
          <w:szCs w:val="28"/>
          <w:shd w:val="clear" w:color="auto" w:fill="FFFFFF"/>
        </w:rPr>
        <w:t>тыс. рублей.</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Просроченная дебиторская задолженность увеличилась на 56 964,06</w:t>
      </w:r>
      <w:r>
        <w:rPr>
          <w:rFonts w:ascii="PT Astra Serif" w:eastAsia="PT Astra Serif" w:hAnsi="PT Astra Serif" w:cs="PT Astra Serif"/>
          <w:color w:val="000000"/>
          <w:sz w:val="28"/>
          <w:szCs w:val="28"/>
          <w:shd w:val="clear" w:color="auto" w:fill="FFFFFF"/>
        </w:rPr>
        <w:br/>
        <w:t>тыс. рублей с 2 268 119,3 тыс. рублей на 1 января 2025 года до 2 325 083,4</w:t>
      </w:r>
      <w:r>
        <w:rPr>
          <w:rFonts w:ascii="PT Astra Serif" w:eastAsia="PT Astra Serif" w:hAnsi="PT Astra Serif" w:cs="PT Astra Serif"/>
          <w:color w:val="000000"/>
          <w:sz w:val="28"/>
          <w:szCs w:val="28"/>
          <w:shd w:val="clear" w:color="auto" w:fill="FFFFFF"/>
        </w:rPr>
        <w:br/>
        <w:t xml:space="preserve">тыс. рублей на 1 января 2026 года. </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Наибольший удельный вес в структуре просроченной дебиторской задолженности имеет задолженность по доходам от расчетов с плательщиками налоговых доходов, администрируемым Управлением Федеральной налоговой службы по Саратовской области.</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lastRenderedPageBreak/>
        <w:t>Подробные сведения по дебиторской и кредиторской задолженности представлены в приложении к Пояснительной записке ф. 0503169 Сведения по дебиторской и кредиторской задолженности.</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xml:space="preserve">Получателями бюджетных средств в течение отчетного периода в порядке, установленном бюджетным законодательством, была списана дебиторская задолженность по доходам бюджета в сумме 99 286,3 тыс. рублей (без учета федеральных администраторов доходов областного бюджета) и дебиторская задолженность по расходам бюджета в сумме </w:t>
      </w:r>
      <w:r w:rsidR="00E90309">
        <w:rPr>
          <w:rFonts w:ascii="PT Astra Serif" w:eastAsia="PT Astra Serif" w:hAnsi="PT Astra Serif" w:cs="PT Astra Serif"/>
          <w:color w:val="000000"/>
          <w:sz w:val="28"/>
          <w:szCs w:val="28"/>
          <w:shd w:val="clear" w:color="auto" w:fill="FFFFFF"/>
        </w:rPr>
        <w:br/>
      </w:r>
      <w:r>
        <w:rPr>
          <w:rFonts w:ascii="PT Astra Serif" w:eastAsia="PT Astra Serif" w:hAnsi="PT Astra Serif" w:cs="PT Astra Serif"/>
          <w:color w:val="000000"/>
          <w:sz w:val="28"/>
          <w:szCs w:val="28"/>
          <w:shd w:val="clear" w:color="auto" w:fill="FFFFFF"/>
        </w:rPr>
        <w:t>68,2 тыс. рублей.</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xml:space="preserve">Кроме того произведены операции по списанию с балансового учета задолженности по принятым обязательствам, невостребованным кредиторами, в сумме 184,5 тыс. рублей. Информация по вышеперечисленным операциям отражена в Отчете о финансовых результатах деятельности </w:t>
      </w:r>
      <w:hyperlink r:id="rId8" w:tooltip="consultantplus://offline/ref=D98DF2733D8DE899A415DEB4538D38F02EA9CAB421BCFD50C8E84483F57DD2FC404B83733E2DDAFEQ9kEH" w:history="1">
        <w:r>
          <w:rPr>
            <w:rStyle w:val="afb"/>
            <w:rFonts w:ascii="PT Astra Serif" w:eastAsia="PT Astra Serif" w:hAnsi="PT Astra Serif" w:cs="PT Astra Serif"/>
            <w:color w:val="000000"/>
            <w:sz w:val="28"/>
            <w:szCs w:val="28"/>
            <w:u w:val="none"/>
            <w:shd w:val="clear" w:color="auto" w:fill="FFFFFF"/>
          </w:rPr>
          <w:t>ф. 0503121</w:t>
        </w:r>
      </w:hyperlink>
      <w:r>
        <w:rPr>
          <w:rFonts w:ascii="PT Astra Serif" w:eastAsia="PT Astra Serif" w:hAnsi="PT Astra Serif" w:cs="PT Astra Serif"/>
          <w:color w:val="000000"/>
          <w:sz w:val="28"/>
          <w:szCs w:val="28"/>
          <w:shd w:val="clear" w:color="auto" w:fill="FFFFFF"/>
        </w:rPr>
        <w:t xml:space="preserve"> (классификация операций сект</w:t>
      </w:r>
      <w:r w:rsidR="00E90309">
        <w:rPr>
          <w:rFonts w:ascii="PT Astra Serif" w:eastAsia="PT Astra Serif" w:hAnsi="PT Astra Serif" w:cs="PT Astra Serif"/>
          <w:color w:val="000000"/>
          <w:sz w:val="28"/>
          <w:szCs w:val="28"/>
          <w:shd w:val="clear" w:color="auto" w:fill="FFFFFF"/>
        </w:rPr>
        <w:t xml:space="preserve">ора государственного управления </w:t>
      </w:r>
      <w:r>
        <w:rPr>
          <w:rFonts w:ascii="PT Astra Serif" w:eastAsia="PT Astra Serif" w:hAnsi="PT Astra Serif" w:cs="PT Astra Serif"/>
          <w:color w:val="000000"/>
          <w:sz w:val="28"/>
          <w:szCs w:val="28"/>
          <w:shd w:val="clear" w:color="auto" w:fill="FFFFFF"/>
        </w:rPr>
        <w:t xml:space="preserve">173 «Чрезвычайные доходы от операций с активами», 273 «Чрезвычайные расходы по операциям с активами»), Справке по заключению счетов бюджетного учета отчетного финансового года </w:t>
      </w:r>
      <w:hyperlink r:id="rId9" w:tooltip="consultantplus://offline/ref=E4466047B08F98B1283633C68B4B130F1389287206E98852453EF1C557F0E4534D327EBCF260EC08D242562371FEA4CF1E58CE1E6652EA03SBPEM" w:history="1">
        <w:r>
          <w:rPr>
            <w:rStyle w:val="afb"/>
            <w:rFonts w:ascii="PT Astra Serif" w:eastAsia="PT Astra Serif" w:hAnsi="PT Astra Serif" w:cs="PT Astra Serif"/>
            <w:color w:val="000000"/>
            <w:sz w:val="28"/>
            <w:szCs w:val="28"/>
            <w:u w:val="none"/>
            <w:shd w:val="clear" w:color="auto" w:fill="FFFFFF"/>
          </w:rPr>
          <w:t>ф. 0503110</w:t>
        </w:r>
      </w:hyperlink>
      <w:r>
        <w:rPr>
          <w:rFonts w:ascii="PT Astra Serif" w:eastAsia="PT Astra Serif" w:hAnsi="PT Astra Serif" w:cs="PT Astra Serif"/>
          <w:color w:val="000000"/>
          <w:sz w:val="28"/>
          <w:szCs w:val="28"/>
          <w:shd w:val="clear" w:color="auto" w:fill="FFFFFF"/>
        </w:rPr>
        <w:t xml:space="preserve">, Справке о наличии имущества и обязательств на </w:t>
      </w:r>
      <w:proofErr w:type="spellStart"/>
      <w:r>
        <w:rPr>
          <w:rFonts w:ascii="PT Astra Serif" w:eastAsia="PT Astra Serif" w:hAnsi="PT Astra Serif" w:cs="PT Astra Serif"/>
          <w:color w:val="000000"/>
          <w:sz w:val="28"/>
          <w:szCs w:val="28"/>
          <w:shd w:val="clear" w:color="auto" w:fill="FFFFFF"/>
        </w:rPr>
        <w:t>забалансовых</w:t>
      </w:r>
      <w:proofErr w:type="spellEnd"/>
      <w:r>
        <w:rPr>
          <w:rFonts w:ascii="PT Astra Serif" w:eastAsia="PT Astra Serif" w:hAnsi="PT Astra Serif" w:cs="PT Astra Serif"/>
          <w:color w:val="000000"/>
          <w:sz w:val="28"/>
          <w:szCs w:val="28"/>
          <w:shd w:val="clear" w:color="auto" w:fill="FFFFFF"/>
        </w:rPr>
        <w:t xml:space="preserve"> счетах.</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Сумма финансовых вложений и вложений в финансовые активы, произведенных главными распорядителями средств областного бюджета по состоянию на 1 января 2026 года, составила 100 477 975,6 тыс. рублей.</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Основной объем всех вложений составляет участие в областных государственных бюджетных, автономных учреждениях – 97,3%, на долю акций пришлось 1,1% вложений, в уставный фонд государственных предприятий - 0,1% и 1,5% иные формы участия в капитале.</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Вложения в областные государственные бюджетные и автономные учреждения произведены в соответствии с положениями Федерального закона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В Сведениях об изменении остатков валюты баланса ф. 0503173 отражены остатки по счетам, сформированные по:</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исправлениям ошибок прошлых лет;</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исправлениям ошибок прошлых лет по результатам внешнего (внутреннего) государственного (муниципального) финансового контроля.</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В 2025 году по итогам деятельности за 2024 год перечислили в областной бюджет часть прибыли, подлежащей перечислению в областной бюджет, следующие государственные предприятия и организации с государственным участием:</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lastRenderedPageBreak/>
        <w:t>- АО Коммунальных электрических сетей Саратовской области ОБЛКОММУНЭНЕРГО», ИНН 6454038461 (1590,5 тыс. рублей);</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АО «Гарантийный фонд для субъектов малого предпринимательства Саратовской области», ИНН 6455046176 (16 974,3 тыс. рублей);</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АО «Волга», ИНН 6439064386 (34 648,8 тыс. рублей);</w:t>
      </w:r>
    </w:p>
    <w:p w:rsidR="00504C97" w:rsidRDefault="004D36C1" w:rsidP="00E90309">
      <w:pPr>
        <w:spacing w:line="264"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b/>
          <w:color w:val="000000"/>
          <w:sz w:val="28"/>
          <w:szCs w:val="28"/>
          <w:shd w:val="clear" w:color="auto" w:fill="FFFFFF"/>
        </w:rPr>
        <w:t>-</w:t>
      </w:r>
      <w:r>
        <w:rPr>
          <w:rFonts w:ascii="PT Astra Serif" w:eastAsia="PT Astra Serif" w:hAnsi="PT Astra Serif" w:cs="PT Astra Serif"/>
          <w:color w:val="000000"/>
          <w:sz w:val="28"/>
          <w:szCs w:val="28"/>
          <w:shd w:val="clear" w:color="auto" w:fill="FFFFFF"/>
        </w:rPr>
        <w:t xml:space="preserve"> ООО «Управляющая компания «</w:t>
      </w:r>
      <w:proofErr w:type="spellStart"/>
      <w:r>
        <w:rPr>
          <w:rFonts w:ascii="PT Astra Serif" w:eastAsia="PT Astra Serif" w:hAnsi="PT Astra Serif" w:cs="PT Astra Serif"/>
          <w:color w:val="000000"/>
          <w:sz w:val="28"/>
          <w:szCs w:val="28"/>
          <w:shd w:val="clear" w:color="auto" w:fill="FFFFFF"/>
        </w:rPr>
        <w:t>Столыпинский</w:t>
      </w:r>
      <w:proofErr w:type="spellEnd"/>
      <w:r>
        <w:rPr>
          <w:rFonts w:ascii="PT Astra Serif" w:eastAsia="PT Astra Serif" w:hAnsi="PT Astra Serif" w:cs="PT Astra Serif"/>
          <w:color w:val="000000"/>
          <w:sz w:val="28"/>
          <w:szCs w:val="28"/>
          <w:shd w:val="clear" w:color="auto" w:fill="FFFFFF"/>
        </w:rPr>
        <w:t xml:space="preserve"> «Индустриальный парк», ИНН 6453169944 (3 638,6 тыс. рублей);</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АО «Корпорация развития Саратовской области» ИНН 6451407103</w:t>
      </w:r>
      <w:r>
        <w:rPr>
          <w:rFonts w:ascii="PT Astra Serif" w:eastAsia="PT Astra Serif" w:hAnsi="PT Astra Serif" w:cs="PT Astra Serif"/>
          <w:color w:val="000000"/>
          <w:sz w:val="28"/>
          <w:szCs w:val="28"/>
          <w:shd w:val="clear" w:color="auto" w:fill="FFFFFF"/>
        </w:rPr>
        <w:br/>
        <w:t>(10 404,4 тыс. рублей).</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xml:space="preserve">В сведениях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r:id="rId10" w:tooltip="consultantplus://offline/ref=E5F3A2F595AB05790B265D9672FE1185DA33B01A6FC7E97A9CBF0C26FBDE8274B3C68CC1008Bt7e5M" w:history="1">
        <w:r>
          <w:rPr>
            <w:rStyle w:val="afb"/>
            <w:rFonts w:ascii="PT Astra Serif" w:eastAsia="PT Astra Serif" w:hAnsi="PT Astra Serif" w:cs="PT Astra Serif"/>
            <w:color w:val="000000"/>
            <w:sz w:val="28"/>
            <w:szCs w:val="28"/>
            <w:u w:val="none"/>
            <w:shd w:val="clear" w:color="auto" w:fill="FFFFFF"/>
          </w:rPr>
          <w:t>ф. № 0503174</w:t>
        </w:r>
      </w:hyperlink>
      <w:r>
        <w:rPr>
          <w:rFonts w:ascii="PT Astra Serif" w:eastAsia="PT Astra Serif" w:hAnsi="PT Astra Serif" w:cs="PT Astra Serif"/>
          <w:color w:val="000000"/>
          <w:sz w:val="28"/>
          <w:szCs w:val="28"/>
          <w:shd w:val="clear" w:color="auto" w:fill="FFFFFF"/>
        </w:rPr>
        <w:t xml:space="preserve"> по состоянию на 1 января 2026 года отражена сумма перечислений в бюджет задолженности в сумме 67 256,6 тыс. рублей.</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В форме 0503175 «Сведения о принятых и неисполненных обязательствах получателя бюджетных средств» в разделе 3 «Сведения о бюджетных обязательствах, принятых сверх утвержденных бюджетных назначений» отражены принятые сверх утвержденных бюджетных назначений бюджетные обязательства: по комитету по реализации инвестиционных проектов в строительстве области, министерству труда и социальной защиты области – по судебным решениям (исполнительным д</w:t>
      </w:r>
      <w:r w:rsidR="00E90309">
        <w:rPr>
          <w:rFonts w:ascii="PT Astra Serif" w:eastAsia="PT Astra Serif" w:hAnsi="PT Astra Serif" w:cs="PT Astra Serif"/>
          <w:color w:val="000000"/>
          <w:sz w:val="28"/>
          <w:szCs w:val="28"/>
          <w:shd w:val="clear" w:color="auto" w:fill="FFFFFF"/>
        </w:rPr>
        <w:t xml:space="preserve">окументам), судебным расходам - </w:t>
      </w:r>
      <w:r>
        <w:rPr>
          <w:rFonts w:ascii="PT Astra Serif" w:eastAsia="PT Astra Serif" w:hAnsi="PT Astra Serif" w:cs="PT Astra Serif"/>
          <w:color w:val="000000"/>
          <w:sz w:val="28"/>
          <w:szCs w:val="28"/>
          <w:shd w:val="clear" w:color="auto" w:fill="FFFFFF"/>
        </w:rPr>
        <w:t>7 000,1 тыс. рублей</w:t>
      </w:r>
      <w:r>
        <w:rPr>
          <w:rFonts w:ascii="PT Astra Serif" w:eastAsia="PT Astra Serif" w:hAnsi="PT Astra Serif" w:cs="PT Astra Serif"/>
          <w:color w:val="000000"/>
          <w:sz w:val="28"/>
          <w:szCs w:val="28"/>
        </w:rPr>
        <w:t>.</w:t>
      </w:r>
    </w:p>
    <w:p w:rsidR="00504C97" w:rsidRDefault="00504C97" w:rsidP="00E90309">
      <w:pPr>
        <w:spacing w:line="264" w:lineRule="auto"/>
        <w:ind w:firstLine="700"/>
        <w:jc w:val="both"/>
        <w:rPr>
          <w:color w:val="000000"/>
        </w:rPr>
      </w:pPr>
    </w:p>
    <w:p w:rsidR="00504C97" w:rsidRDefault="004D36C1" w:rsidP="00E90309">
      <w:pPr>
        <w:spacing w:line="264" w:lineRule="auto"/>
        <w:jc w:val="center"/>
        <w:rPr>
          <w:color w:val="000000"/>
        </w:rPr>
      </w:pPr>
      <w:r>
        <w:rPr>
          <w:rFonts w:ascii="PT Astra Serif" w:eastAsia="PT Astra Serif" w:hAnsi="PT Astra Serif" w:cs="PT Astra Serif"/>
          <w:b/>
          <w:color w:val="000000"/>
          <w:sz w:val="28"/>
          <w:szCs w:val="28"/>
          <w:shd w:val="clear" w:color="auto" w:fill="FFFFFF"/>
        </w:rPr>
        <w:t>Раздел 5 «Прочие вопросы деятельности субъекта бюджетной отчетности»</w:t>
      </w:r>
    </w:p>
    <w:p w:rsidR="00504C97" w:rsidRDefault="004D36C1" w:rsidP="00E90309">
      <w:pPr>
        <w:spacing w:line="264" w:lineRule="auto"/>
        <w:jc w:val="center"/>
        <w:rPr>
          <w:color w:val="000000"/>
        </w:rPr>
      </w:pPr>
      <w:r>
        <w:rPr>
          <w:rFonts w:ascii="PT Astra Serif" w:eastAsia="PT Astra Serif" w:hAnsi="PT Astra Serif" w:cs="PT Astra Serif"/>
          <w:color w:val="000000"/>
          <w:sz w:val="24"/>
          <w:szCs w:val="24"/>
          <w:shd w:val="clear" w:color="auto" w:fill="FFFFFF"/>
        </w:rPr>
        <w:t> </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Бухгалтерский учет осуществляется в соответствии с Федеральным законом от 6 декабря 2011 года № 402-ФЗ «О бухгалтерском учете», Бюджетным кодексом Российской Федерации, приказом Министерства финансов Российской Федерации от 1 декабря 2010 года № 157н</w:t>
      </w:r>
      <w:r>
        <w:rPr>
          <w:rFonts w:ascii="PT Astra Serif" w:eastAsia="PT Astra Serif" w:hAnsi="PT Astra Serif" w:cs="PT Astra Serif"/>
          <w:color w:val="000000"/>
          <w:sz w:val="28"/>
          <w:szCs w:val="28"/>
          <w:shd w:val="clear" w:color="auto" w:fill="FFFFFF"/>
        </w:rPr>
        <w:b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применением федеральных стандартов.</w:t>
      </w:r>
    </w:p>
    <w:p w:rsidR="00504C97" w:rsidRDefault="004D36C1" w:rsidP="00E90309">
      <w:pPr>
        <w:spacing w:line="264" w:lineRule="auto"/>
        <w:ind w:firstLine="720"/>
        <w:jc w:val="both"/>
        <w:rPr>
          <w:rFonts w:ascii="PT Astra Serif" w:hAnsi="PT Astra Serif" w:cs="PT Astra Serif"/>
          <w:color w:val="000000"/>
          <w:sz w:val="28"/>
          <w:szCs w:val="28"/>
        </w:rPr>
      </w:pPr>
      <w:r>
        <w:rPr>
          <w:rFonts w:ascii="PT Astra Serif" w:eastAsiaTheme="minorHAnsi" w:hAnsi="PT Astra Serif" w:cs="PT Astra Serif"/>
          <w:color w:val="000000" w:themeColor="text1"/>
          <w:sz w:val="28"/>
          <w:szCs w:val="28"/>
        </w:rPr>
        <w:t xml:space="preserve">Бухгалтерская отчетность составляется в соответствии с требованиями приказа Министерства финансов Российской Федерации от 28 декабря </w:t>
      </w:r>
      <w:r>
        <w:rPr>
          <w:rFonts w:ascii="PT Astra Serif" w:eastAsiaTheme="minorHAnsi" w:hAnsi="PT Astra Serif" w:cs="PT Astra Serif"/>
          <w:color w:val="000000" w:themeColor="text1"/>
          <w:sz w:val="28"/>
          <w:szCs w:val="28"/>
        </w:rPr>
        <w:br/>
        <w:t xml:space="preserve">2010 года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и совместными </w:t>
      </w:r>
      <w:r>
        <w:rPr>
          <w:rFonts w:ascii="PT Astra Serif" w:eastAsiaTheme="minorHAnsi" w:hAnsi="PT Astra Serif" w:cs="PT Astra Serif"/>
          <w:color w:val="000000" w:themeColor="text1"/>
          <w:sz w:val="28"/>
          <w:szCs w:val="28"/>
        </w:rPr>
        <w:lastRenderedPageBreak/>
        <w:t xml:space="preserve">письмами </w:t>
      </w:r>
      <w:r>
        <w:rPr>
          <w:rFonts w:ascii="PT Astra Serif" w:eastAsia="Arial" w:hAnsi="PT Astra Serif" w:cs="PT Astra Serif"/>
          <w:color w:val="000000" w:themeColor="text1"/>
          <w:sz w:val="28"/>
          <w:szCs w:val="28"/>
        </w:rPr>
        <w:t>Министерства финансов Российской Федерации от 23 января 2026 года № 02-07-08/4300 и Федерального казначейства № 07-04-05/02-1416</w:t>
      </w:r>
      <w:r>
        <w:rPr>
          <w:rFonts w:ascii="PT Astra Serif" w:eastAsia="Arial" w:hAnsi="PT Astra Serif" w:cs="PT Astra Serif"/>
          <w:color w:val="000000" w:themeColor="text1"/>
          <w:sz w:val="28"/>
          <w:szCs w:val="28"/>
        </w:rPr>
        <w:br/>
        <w:t>«О дополнительных критериях по раскрытию информации при составлении и представлении годовой консолидированной бюджетной отчетности, годовой</w:t>
      </w:r>
      <w:r>
        <w:rPr>
          <w:rFonts w:ascii="PT Astra Serif" w:eastAsia="Arial" w:hAnsi="PT Astra Serif" w:cs="PT Astra Serif"/>
          <w:color w:val="000000" w:themeColor="text1"/>
          <w:sz w:val="28"/>
          <w:szCs w:val="28"/>
        </w:rPr>
        <w:br/>
        <w:t>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2025 год», Министерства ф</w:t>
      </w:r>
      <w:r w:rsidR="00E90309">
        <w:rPr>
          <w:rFonts w:ascii="PT Astra Serif" w:eastAsia="Arial" w:hAnsi="PT Astra Serif" w:cs="PT Astra Serif"/>
          <w:color w:val="000000" w:themeColor="text1"/>
          <w:sz w:val="28"/>
          <w:szCs w:val="28"/>
        </w:rPr>
        <w:t xml:space="preserve">инансов Российской Федерации от </w:t>
      </w:r>
      <w:r>
        <w:rPr>
          <w:rFonts w:ascii="PT Astra Serif" w:eastAsia="Arial" w:hAnsi="PT Astra Serif" w:cs="PT Astra Serif"/>
          <w:color w:val="000000" w:themeColor="text1"/>
          <w:sz w:val="28"/>
          <w:szCs w:val="28"/>
        </w:rPr>
        <w:t>23 января 2026 года № 02-07-08/4</w:t>
      </w:r>
      <w:r w:rsidR="00E90309">
        <w:rPr>
          <w:rFonts w:ascii="PT Astra Serif" w:eastAsia="Arial" w:hAnsi="PT Astra Serif" w:cs="PT Astra Serif"/>
          <w:color w:val="000000" w:themeColor="text1"/>
          <w:sz w:val="28"/>
          <w:szCs w:val="28"/>
        </w:rPr>
        <w:t xml:space="preserve">301 и Федерального казначейства </w:t>
      </w:r>
      <w:r>
        <w:rPr>
          <w:rFonts w:ascii="PT Astra Serif" w:eastAsia="Arial" w:hAnsi="PT Astra Serif" w:cs="PT Astra Serif"/>
          <w:color w:val="000000" w:themeColor="text1"/>
          <w:sz w:val="28"/>
          <w:szCs w:val="28"/>
        </w:rPr>
        <w:t xml:space="preserve">№ 07-04-05/02-1418 «О дополнительных критериях по раскрытию информации при составлении и представлении годовой бюджетной отчетности, годовой консолидированной бухгалтерской отчетности государственных (муниципальных) бюджетных и автономных учреждений финансовыми органами субъектов Российской Федерации и органами управления внебюджетными фондами Российской Федерации за 2025 год», </w:t>
      </w:r>
      <w:r>
        <w:rPr>
          <w:rFonts w:ascii="PT Astra Serif" w:eastAsiaTheme="minorHAnsi" w:hAnsi="PT Astra Serif" w:cs="PT Astra Serif"/>
          <w:color w:val="000000" w:themeColor="text1"/>
          <w:sz w:val="28"/>
          <w:szCs w:val="28"/>
        </w:rPr>
        <w:t xml:space="preserve">Министерства финансов Российской Федерации от 29 декабря 2024 года № 02-06-06/120378 и Федерального казначейства </w:t>
      </w:r>
      <w:r w:rsidR="00E90309">
        <w:rPr>
          <w:rFonts w:ascii="PT Astra Serif" w:eastAsiaTheme="minorHAnsi" w:hAnsi="PT Astra Serif" w:cs="PT Astra Serif"/>
          <w:color w:val="000000" w:themeColor="text1"/>
          <w:sz w:val="28"/>
          <w:szCs w:val="28"/>
        </w:rPr>
        <w:br/>
      </w:r>
      <w:r>
        <w:rPr>
          <w:rFonts w:ascii="PT Astra Serif" w:eastAsiaTheme="minorHAnsi" w:hAnsi="PT Astra Serif" w:cs="PT Astra Serif"/>
          <w:color w:val="000000" w:themeColor="text1"/>
          <w:sz w:val="28"/>
          <w:szCs w:val="28"/>
        </w:rPr>
        <w:t>№ 07-04-05/02-35262  «О дополнительных критериях по раскрытию информации при составлении и представлении годовой консолидированной бюджетной отчетности,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2024 год», Министерства ф</w:t>
      </w:r>
      <w:r w:rsidR="00E90309">
        <w:rPr>
          <w:rFonts w:ascii="PT Astra Serif" w:eastAsiaTheme="minorHAnsi" w:hAnsi="PT Astra Serif" w:cs="PT Astra Serif"/>
          <w:color w:val="000000" w:themeColor="text1"/>
          <w:sz w:val="28"/>
          <w:szCs w:val="28"/>
        </w:rPr>
        <w:t xml:space="preserve">инансов Российской Федерации от </w:t>
      </w:r>
      <w:r>
        <w:rPr>
          <w:rFonts w:ascii="PT Astra Serif" w:eastAsiaTheme="minorHAnsi" w:hAnsi="PT Astra Serif" w:cs="PT Astra Serif"/>
          <w:color w:val="000000" w:themeColor="text1"/>
          <w:sz w:val="28"/>
          <w:szCs w:val="28"/>
        </w:rPr>
        <w:t>29 декабря 2024 года № 02-06-06/120</w:t>
      </w:r>
      <w:r w:rsidR="00E90309">
        <w:rPr>
          <w:rFonts w:ascii="PT Astra Serif" w:eastAsiaTheme="minorHAnsi" w:hAnsi="PT Astra Serif" w:cs="PT Astra Serif"/>
          <w:color w:val="000000" w:themeColor="text1"/>
          <w:sz w:val="28"/>
          <w:szCs w:val="28"/>
        </w:rPr>
        <w:t xml:space="preserve">377 и Федерального казначейства </w:t>
      </w:r>
      <w:r>
        <w:rPr>
          <w:rFonts w:ascii="PT Astra Serif" w:eastAsiaTheme="minorHAnsi" w:hAnsi="PT Astra Serif" w:cs="PT Astra Serif"/>
          <w:color w:val="000000" w:themeColor="text1"/>
          <w:sz w:val="28"/>
          <w:szCs w:val="28"/>
        </w:rPr>
        <w:t xml:space="preserve">№ 07-04-05/02-35263 «О дополнительных критериях по раскрытию информации при составлении и представлении годовой бюджетной отчетности, годовой консолидированной бухгалтерской отчетности государственных (муниципальных) бюджетных и автономных учреждений финансовыми органами субъектов Российской Федерации и органами управления государственными внебюджетными </w:t>
      </w:r>
      <w:r w:rsidR="00E90309">
        <w:rPr>
          <w:rFonts w:ascii="PT Astra Serif" w:eastAsiaTheme="minorHAnsi" w:hAnsi="PT Astra Serif" w:cs="PT Astra Serif"/>
          <w:color w:val="000000" w:themeColor="text1"/>
          <w:sz w:val="28"/>
          <w:szCs w:val="28"/>
        </w:rPr>
        <w:t xml:space="preserve">фондами Российской Федерации за </w:t>
      </w:r>
      <w:r>
        <w:rPr>
          <w:rFonts w:ascii="PT Astra Serif" w:eastAsiaTheme="minorHAnsi" w:hAnsi="PT Astra Serif" w:cs="PT Astra Serif"/>
          <w:color w:val="000000" w:themeColor="text1"/>
          <w:sz w:val="28"/>
          <w:szCs w:val="28"/>
        </w:rPr>
        <w:t>2024 год».</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Согласно пункту 7 приказа Министерства финансов Российской Федерации от 28 декабря 2010 года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в целях составления годовой бухгалтерской отчетности экономическими субъектами области проводилась инвентаризация активов и обязательств.</w:t>
      </w:r>
    </w:p>
    <w:p w:rsidR="00504C97" w:rsidRDefault="004D36C1" w:rsidP="00E90309">
      <w:pPr>
        <w:spacing w:line="264"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shd w:val="clear" w:color="auto" w:fill="FFFFFF"/>
        </w:rPr>
        <w:t>В результате проведенных инвентаризаций (в том числе проведенных в рамках плановой проверки финансово-хозяйственной деятельности):</w:t>
      </w:r>
    </w:p>
    <w:p w:rsidR="00504C97" w:rsidRDefault="004D36C1" w:rsidP="00E90309">
      <w:pPr>
        <w:spacing w:line="264"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shd w:val="clear" w:color="auto" w:fill="FFFFFF"/>
        </w:rPr>
        <w:t>по комитету по реализации инвестиционных проектов в строительстве области оприходованы комплектующие к оргтехнике в сумме 26,00 рублей;</w:t>
      </w:r>
    </w:p>
    <w:p w:rsidR="00504C97" w:rsidRDefault="004D36C1" w:rsidP="00E90309">
      <w:pPr>
        <w:spacing w:line="264" w:lineRule="auto"/>
        <w:ind w:firstLine="720"/>
        <w:jc w:val="both"/>
        <w:rPr>
          <w:rFonts w:ascii="PT Astra Serif" w:eastAsia="PT Astra Serif" w:hAnsi="PT Astra Serif" w:cs="PT Astra Serif"/>
          <w:color w:val="000000"/>
          <w:sz w:val="28"/>
          <w:szCs w:val="28"/>
        </w:rPr>
      </w:pPr>
      <w:r>
        <w:rPr>
          <w:rFonts w:ascii="PT Astra Serif" w:eastAsia="PT Astra Serif" w:hAnsi="PT Astra Serif" w:cs="PT Astra Serif"/>
          <w:color w:val="000000"/>
          <w:sz w:val="28"/>
          <w:szCs w:val="28"/>
          <w:shd w:val="clear" w:color="auto" w:fill="FFFFFF"/>
        </w:rPr>
        <w:lastRenderedPageBreak/>
        <w:t>по министерству труда и социальной защиты области приняты к учету права пользования программным обеспечением и базами данных программы 1С на сумму 2,00 рубля, а также оприходованы излишки материальных запасов в сумме 19 460,00 рублей и основных средств в сумме 191,00 рубль;</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по комитету по управлению имуществом области приняты в казну согласно сведениям из реестра активы в общей сумме 6 575 437 193,91 рублей, в том числе земельных участков на сумму 567 808 883,44 рублей, недвижимого имущества на сумму 89 618 596,47 рублей</w:t>
      </w:r>
      <w:r w:rsidR="00E90309">
        <w:rPr>
          <w:rFonts w:ascii="PT Astra Serif" w:eastAsia="PT Astra Serif" w:hAnsi="PT Astra Serif" w:cs="PT Astra Serif"/>
          <w:color w:val="000000"/>
          <w:sz w:val="28"/>
          <w:szCs w:val="28"/>
          <w:shd w:val="clear" w:color="auto" w:fill="FFFFFF"/>
        </w:rPr>
        <w:t xml:space="preserve"> и движимого имущества на сумму </w:t>
      </w:r>
      <w:r>
        <w:rPr>
          <w:rFonts w:ascii="PT Astra Serif" w:eastAsia="PT Astra Serif" w:hAnsi="PT Astra Serif" w:cs="PT Astra Serif"/>
          <w:color w:val="000000"/>
          <w:sz w:val="28"/>
          <w:szCs w:val="28"/>
          <w:shd w:val="clear" w:color="auto" w:fill="FFFFFF"/>
        </w:rPr>
        <w:t>9 714,00 рублей.</w:t>
      </w:r>
    </w:p>
    <w:p w:rsidR="00504C97" w:rsidRDefault="004D36C1" w:rsidP="00E90309">
      <w:pPr>
        <w:spacing w:line="264" w:lineRule="auto"/>
        <w:ind w:firstLine="720"/>
        <w:jc w:val="both"/>
        <w:rPr>
          <w:rFonts w:ascii="PT Astra Serif" w:hAnsi="PT Astra Serif"/>
          <w:color w:val="000000"/>
          <w:sz w:val="28"/>
          <w:szCs w:val="28"/>
        </w:rPr>
      </w:pPr>
      <w:r>
        <w:rPr>
          <w:rFonts w:ascii="PT Astra Serif" w:eastAsia="PT Astra Serif" w:hAnsi="PT Astra Serif" w:cs="PT Astra Serif"/>
          <w:color w:val="000000"/>
          <w:sz w:val="28"/>
          <w:szCs w:val="28"/>
          <w:shd w:val="clear" w:color="auto" w:fill="FFFFFF"/>
        </w:rPr>
        <w:t xml:space="preserve">В Сведениях об исполнении судебных решений по денежным обязательствам бюджета </w:t>
      </w:r>
      <w:hyperlink r:id="rId11" w:tooltip="consultantplus://offline/ref=17B7A1E8C69C11A08DC256882E34BECD225DDEECA5858069C2AFDA521C98210990A8CC895DB1CDDCEEC0C6D1D580A2BD7B3937462346WCu1H" w:history="1">
        <w:r>
          <w:rPr>
            <w:rStyle w:val="afb"/>
            <w:rFonts w:ascii="PT Astra Serif" w:eastAsia="PT Astra Serif" w:hAnsi="PT Astra Serif" w:cs="PT Astra Serif"/>
            <w:color w:val="000000"/>
            <w:sz w:val="28"/>
            <w:szCs w:val="28"/>
            <w:u w:val="none"/>
            <w:shd w:val="clear" w:color="auto" w:fill="FFFFFF"/>
          </w:rPr>
          <w:t>ф. 0503296</w:t>
        </w:r>
      </w:hyperlink>
      <w:r>
        <w:rPr>
          <w:rFonts w:ascii="PT Astra Serif" w:eastAsia="PT Astra Serif" w:hAnsi="PT Astra Serif" w:cs="PT Astra Serif"/>
          <w:color w:val="000000"/>
          <w:sz w:val="28"/>
          <w:szCs w:val="28"/>
          <w:shd w:val="clear" w:color="auto" w:fill="FFFFFF"/>
        </w:rPr>
        <w:t xml:space="preserve"> по состоянию на 1 января 2026 года отражен остаток в сумме принятых, но неисполненных судебных решений, срок оплаты по которым в соответствии с действующим законодательством не наступил, в сумме - 7 866,3 тыс. рублей, в том числе: пособия по социальной помощи населению в натуральной форме (компенсация за установку надгробий соответствующего образца на могилах Ге</w:t>
      </w:r>
      <w:r w:rsidR="00E90309">
        <w:rPr>
          <w:rFonts w:ascii="PT Astra Serif" w:eastAsia="PT Astra Serif" w:hAnsi="PT Astra Serif" w:cs="PT Astra Serif"/>
          <w:color w:val="000000"/>
          <w:sz w:val="28"/>
          <w:szCs w:val="28"/>
          <w:shd w:val="clear" w:color="auto" w:fill="FFFFFF"/>
        </w:rPr>
        <w:t xml:space="preserve">роев Социалистического Труда) - </w:t>
      </w:r>
      <w:r>
        <w:rPr>
          <w:rFonts w:ascii="PT Astra Serif" w:eastAsia="PT Astra Serif" w:hAnsi="PT Astra Serif" w:cs="PT Astra Serif"/>
          <w:color w:val="000000"/>
          <w:sz w:val="28"/>
          <w:szCs w:val="28"/>
          <w:shd w:val="clear" w:color="auto" w:fill="FFFFFF"/>
        </w:rPr>
        <w:t xml:space="preserve">4 709,4 тыс. рублей, по налогам, пошлинам и сборам – 0,1 тыс. рублей, </w:t>
      </w:r>
      <w:r>
        <w:rPr>
          <w:rFonts w:ascii="PT Astra Serif" w:eastAsia="PT Astra Serif" w:hAnsi="PT Astra Serif" w:cs="PT Astra Serif"/>
          <w:color w:val="222222"/>
          <w:sz w:val="28"/>
          <w:szCs w:val="28"/>
          <w:shd w:val="clear" w:color="auto" w:fill="FFFFFF"/>
        </w:rPr>
        <w:t>штрафам за нарушение законодательства о закупках и нарушение условий контрактов (договоров)</w:t>
      </w:r>
      <w:r>
        <w:rPr>
          <w:rFonts w:ascii="PT Astra Serif" w:eastAsia="PT Astra Serif" w:hAnsi="PT Astra Serif" w:cs="PT Astra Serif"/>
          <w:color w:val="000000"/>
          <w:sz w:val="28"/>
          <w:szCs w:val="28"/>
          <w:shd w:val="clear" w:color="auto" w:fill="FFFFFF"/>
        </w:rPr>
        <w:t xml:space="preserve"> - 84,5 тыс. рублей, иным выплатам текущего характера физическим лицам – 365,9 тыс. рублей, другим экономическим санк</w:t>
      </w:r>
      <w:r w:rsidR="00E90309">
        <w:rPr>
          <w:rFonts w:ascii="PT Astra Serif" w:eastAsia="PT Astra Serif" w:hAnsi="PT Astra Serif" w:cs="PT Astra Serif"/>
          <w:color w:val="000000"/>
          <w:sz w:val="28"/>
          <w:szCs w:val="28"/>
          <w:shd w:val="clear" w:color="auto" w:fill="FFFFFF"/>
        </w:rPr>
        <w:t xml:space="preserve">циям - </w:t>
      </w:r>
      <w:r>
        <w:rPr>
          <w:rFonts w:ascii="PT Astra Serif" w:eastAsia="PT Astra Serif" w:hAnsi="PT Astra Serif" w:cs="PT Astra Serif"/>
          <w:color w:val="000000"/>
          <w:sz w:val="28"/>
          <w:szCs w:val="28"/>
          <w:shd w:val="clear" w:color="auto" w:fill="FFFFFF"/>
        </w:rPr>
        <w:t>200,00 тыс. рублей</w:t>
      </w:r>
      <w:r>
        <w:rPr>
          <w:rFonts w:ascii="PT Astra Serif" w:eastAsia="PT Astra Serif" w:hAnsi="PT Astra Serif" w:cs="PT Astra Serif"/>
          <w:color w:val="000000"/>
          <w:sz w:val="28"/>
          <w:szCs w:val="28"/>
        </w:rPr>
        <w:t>, ин</w:t>
      </w:r>
      <w:r>
        <w:rPr>
          <w:rFonts w:ascii="PT Astra Serif" w:eastAsia="PT Astra Serif" w:hAnsi="PT Astra Serif" w:cs="PT Astra Serif"/>
          <w:color w:val="000000"/>
          <w:sz w:val="28"/>
          <w:szCs w:val="28"/>
          <w:shd w:val="clear" w:color="auto" w:fill="FFFFFF"/>
        </w:rPr>
        <w:t>ым выплатам текущего характера организациям – 2 506,5 тыс. рублей.</w:t>
      </w:r>
    </w:p>
    <w:p w:rsidR="00504C97" w:rsidRDefault="004D36C1" w:rsidP="00E90309">
      <w:pPr>
        <w:spacing w:line="264" w:lineRule="auto"/>
        <w:ind w:firstLine="720"/>
        <w:jc w:val="both"/>
        <w:rPr>
          <w:rFonts w:ascii="PT Astra Serif" w:eastAsia="PT Astra Serif" w:hAnsi="PT Astra Serif" w:cs="PT Astra Serif"/>
          <w:color w:val="101010"/>
          <w:sz w:val="28"/>
          <w:szCs w:val="28"/>
        </w:rPr>
      </w:pPr>
      <w:r>
        <w:rPr>
          <w:rFonts w:ascii="PT Astra Serif" w:eastAsia="PT Astra Serif" w:hAnsi="PT Astra Serif" w:cs="PT Astra Serif"/>
          <w:color w:val="101010"/>
          <w:sz w:val="28"/>
          <w:szCs w:val="28"/>
          <w:shd w:val="clear" w:color="auto" w:fill="FFFFFF"/>
        </w:rPr>
        <w:t>В связи с отсутствием числового значения в составе бюджетной отчетности об исполнении бюджета Саратовской области за отчетный период не представлены:</w:t>
      </w:r>
    </w:p>
    <w:p w:rsidR="00504C97" w:rsidRDefault="004D36C1" w:rsidP="00E90309">
      <w:pPr>
        <w:spacing w:line="264" w:lineRule="auto"/>
        <w:ind w:firstLine="720"/>
        <w:jc w:val="both"/>
        <w:rPr>
          <w:rFonts w:ascii="PT Astra Serif" w:eastAsia="PT Astra Serif" w:hAnsi="PT Astra Serif" w:cs="PT Astra Serif"/>
          <w:color w:val="101010"/>
          <w:sz w:val="28"/>
          <w:szCs w:val="28"/>
        </w:rPr>
      </w:pPr>
      <w:r>
        <w:rPr>
          <w:rFonts w:ascii="PT Astra Serif" w:eastAsia="PT Astra Serif" w:hAnsi="PT Astra Serif" w:cs="PT Astra Serif"/>
          <w:color w:val="101010"/>
          <w:sz w:val="28"/>
          <w:szCs w:val="28"/>
          <w:shd w:val="clear" w:color="auto" w:fill="FFFFFF"/>
        </w:rPr>
        <w:t xml:space="preserve"> Справка по консолидируемым расчетам ф. 0503125 по счетам: 120721000 «Расчеты с бюджетами бюджетной системы Российской Федерации в рамках целевых иностранных кредитов (заимствований)», 120721541 «Увеличение задолженности бюджетов бюджетной системы Российской Федерации в рамках целевых иностранных кредитов (заимствований)», 120721641 «Уменьшение задолженности бюджетов бюджетной системы Российской Федерации в рамках целевых иностранных кредитов (заимствований)», 120731000 «Расчеты с бюджетами бюджетной системы Российской Федерации по государственным (муниципальным) гарантиям», 120731541 «Увеличение задолженности бюджетов бюджетной  системы Российской Федерации по государственным (муниципальным) гарантиям», 120731641 «Уменьшение задолженности бюджетов бюджетной системы Российской Федерации по государственным (муниципальным) гарантиям», 130121000 «Расчеты с бюджетами бюджетной системы Российской Федерации по привлеченным бюджетным кредитам в рамках целевых иностранных кредитов (заимствований)», 130121710 </w:t>
      </w:r>
      <w:r>
        <w:rPr>
          <w:rFonts w:ascii="PT Astra Serif" w:eastAsia="PT Astra Serif" w:hAnsi="PT Astra Serif" w:cs="PT Astra Serif"/>
          <w:color w:val="101010"/>
          <w:sz w:val="28"/>
          <w:szCs w:val="28"/>
          <w:shd w:val="clear" w:color="auto" w:fill="FFFFFF"/>
        </w:rPr>
        <w:lastRenderedPageBreak/>
        <w:t xml:space="preserve">«Увеличение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130131000 «Расчеты с бюджетами бюджетной системы Российской Федерации по государственным (муниципальным) гарантиям», 130131710 «Увеличение задолженности перед бюджетами бюджетной системы Российской Федерации по государственным (муниципальным) гарантиям», 130131810 «Уменьшение задолженности перед бюджетами бюджетной системы Российской Федерации по государственным (муниципальным) гарантиям», 130251000 «Расчеты по перечислениям другим бюджетам бюджетной системы Российской Федерации», 130254000 «Расчеты по перечислениям капитального характера другим бюджетам бюджетной системы Российской Федерации», 130254831 «Уменьшение кредиторской задолженности по перечислениям текущего характера другим бюджетам бюджетной системы Российской Федерации», 030404000 «Внутриведомственные расчеты», F40110189 «Иные доходы (В рамках одного бюджета </w:t>
      </w:r>
      <w:proofErr w:type="spellStart"/>
      <w:r>
        <w:rPr>
          <w:rFonts w:ascii="PT Astra Serif" w:eastAsia="PT Astra Serif" w:hAnsi="PT Astra Serif" w:cs="PT Astra Serif"/>
          <w:color w:val="101010"/>
          <w:sz w:val="28"/>
          <w:szCs w:val="28"/>
          <w:shd w:val="clear" w:color="auto" w:fill="FFFFFF"/>
        </w:rPr>
        <w:t>абз</w:t>
      </w:r>
      <w:proofErr w:type="spellEnd"/>
      <w:r>
        <w:rPr>
          <w:rFonts w:ascii="PT Astra Serif" w:eastAsia="PT Astra Serif" w:hAnsi="PT Astra Serif" w:cs="PT Astra Serif"/>
          <w:color w:val="101010"/>
          <w:sz w:val="28"/>
          <w:szCs w:val="28"/>
          <w:shd w:val="clear" w:color="auto" w:fill="FFFFFF"/>
        </w:rPr>
        <w:t xml:space="preserve">. 11 191н пункт 23)», М40110189 «Иные доходы (Взаимоотношения между бюджетами </w:t>
      </w:r>
      <w:proofErr w:type="spellStart"/>
      <w:r>
        <w:rPr>
          <w:rFonts w:ascii="PT Astra Serif" w:eastAsia="PT Astra Serif" w:hAnsi="PT Astra Serif" w:cs="PT Astra Serif"/>
          <w:color w:val="101010"/>
          <w:sz w:val="28"/>
          <w:szCs w:val="28"/>
          <w:shd w:val="clear" w:color="auto" w:fill="FFFFFF"/>
        </w:rPr>
        <w:t>абз</w:t>
      </w:r>
      <w:proofErr w:type="spellEnd"/>
      <w:r>
        <w:rPr>
          <w:rFonts w:ascii="PT Astra Serif" w:eastAsia="PT Astra Serif" w:hAnsi="PT Astra Serif" w:cs="PT Astra Serif"/>
          <w:color w:val="101010"/>
          <w:sz w:val="28"/>
          <w:szCs w:val="28"/>
          <w:shd w:val="clear" w:color="auto" w:fill="FFFFFF"/>
        </w:rPr>
        <w:t>. 12 191н пункт 23)»;</w:t>
      </w:r>
    </w:p>
    <w:p w:rsidR="00504C97" w:rsidRDefault="004D36C1" w:rsidP="00E90309">
      <w:pPr>
        <w:spacing w:line="264" w:lineRule="auto"/>
        <w:ind w:firstLine="720"/>
        <w:jc w:val="both"/>
        <w:rPr>
          <w:rFonts w:ascii="PT Astra Serif" w:eastAsia="PT Astra Serif" w:hAnsi="PT Astra Serif" w:cs="PT Astra Serif"/>
          <w:color w:val="101010"/>
          <w:sz w:val="28"/>
          <w:szCs w:val="28"/>
        </w:rPr>
      </w:pPr>
      <w:r>
        <w:rPr>
          <w:rFonts w:ascii="PT Astra Serif" w:eastAsia="PT Astra Serif" w:hAnsi="PT Astra Serif" w:cs="PT Astra Serif"/>
          <w:color w:val="101010"/>
          <w:sz w:val="28"/>
          <w:szCs w:val="28"/>
          <w:shd w:val="clear" w:color="auto" w:fill="FFFFFF"/>
        </w:rPr>
        <w:t>Сведения о целевых иностранных кредитах ф. 0503167;</w:t>
      </w:r>
    </w:p>
    <w:p w:rsidR="00504C97" w:rsidRDefault="004D36C1" w:rsidP="00E90309">
      <w:pPr>
        <w:spacing w:line="264" w:lineRule="auto"/>
        <w:ind w:firstLine="720"/>
        <w:jc w:val="both"/>
        <w:rPr>
          <w:rFonts w:ascii="PT Astra Serif" w:eastAsia="PT Astra Serif" w:hAnsi="PT Astra Serif" w:cs="PT Astra Serif"/>
          <w:color w:val="101010"/>
          <w:sz w:val="28"/>
          <w:szCs w:val="28"/>
        </w:rPr>
      </w:pPr>
      <w:r>
        <w:rPr>
          <w:rFonts w:ascii="PT Astra Serif" w:eastAsia="PT Astra Serif" w:hAnsi="PT Astra Serif" w:cs="PT Astra Serif"/>
          <w:color w:val="101010"/>
          <w:sz w:val="28"/>
          <w:szCs w:val="28"/>
          <w:shd w:val="clear" w:color="auto" w:fill="FFFFFF"/>
        </w:rPr>
        <w:t>Сведения об остатках денежных средств ф. 0503178_Касса;</w:t>
      </w:r>
    </w:p>
    <w:p w:rsidR="00504C97" w:rsidRDefault="004D36C1" w:rsidP="00E90309">
      <w:pPr>
        <w:spacing w:line="264" w:lineRule="auto"/>
        <w:ind w:firstLine="720"/>
        <w:jc w:val="both"/>
        <w:rPr>
          <w:rFonts w:ascii="PT Astra Serif" w:eastAsia="PT Astra Serif" w:hAnsi="PT Astra Serif" w:cs="PT Astra Serif"/>
          <w:color w:val="101010"/>
          <w:sz w:val="28"/>
          <w:szCs w:val="28"/>
        </w:rPr>
      </w:pPr>
      <w:r>
        <w:rPr>
          <w:rFonts w:ascii="PT Astra Serif" w:eastAsia="PT Astra Serif" w:hAnsi="PT Astra Serif" w:cs="PT Astra Serif"/>
          <w:color w:val="101010"/>
          <w:sz w:val="28"/>
          <w:szCs w:val="28"/>
          <w:shd w:val="clear" w:color="auto" w:fill="FFFFFF"/>
        </w:rPr>
        <w:t>Справка о суммах консолидированных поступлений, подлежащих зачислению на счет бюджета ф. 0503184 .</w:t>
      </w:r>
    </w:p>
    <w:p w:rsidR="00504C97" w:rsidRDefault="00504C97" w:rsidP="00E90309">
      <w:pPr>
        <w:spacing w:line="264" w:lineRule="auto"/>
        <w:ind w:firstLine="700"/>
        <w:jc w:val="both"/>
        <w:rPr>
          <w:color w:val="000000"/>
        </w:rPr>
      </w:pPr>
    </w:p>
    <w:p w:rsidR="00504C97" w:rsidRDefault="00504C97">
      <w:pPr>
        <w:ind w:firstLine="700"/>
        <w:jc w:val="both"/>
        <w:rPr>
          <w:color w:val="000000"/>
        </w:rPr>
      </w:pPr>
    </w:p>
    <w:p w:rsidR="00504C97" w:rsidRDefault="00504C97">
      <w:pPr>
        <w:ind w:firstLine="700"/>
        <w:jc w:val="both"/>
        <w:rPr>
          <w:color w:val="000000"/>
        </w:rPr>
      </w:pPr>
    </w:p>
    <w:tbl>
      <w:tblPr>
        <w:tblStyle w:val="af1"/>
        <w:tblpPr w:leftFromText="180" w:rightFromText="180" w:vertAnchor="text" w:horzAnchor="margin" w:tblpY="135"/>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7061"/>
        <w:gridCol w:w="2510"/>
      </w:tblGrid>
      <w:tr w:rsidR="00504C97">
        <w:trPr>
          <w:trHeight w:val="1000"/>
        </w:trPr>
        <w:tc>
          <w:tcPr>
            <w:tcW w:w="7338" w:type="dxa"/>
          </w:tcPr>
          <w:p w:rsidR="00504C97" w:rsidRDefault="004D36C1">
            <w:r>
              <w:rPr>
                <w:rFonts w:ascii="PT Astra Serif" w:hAnsi="PT Astra Serif" w:cs="PT Astra Serif"/>
                <w:b/>
                <w:bCs/>
                <w:sz w:val="28"/>
                <w:szCs w:val="28"/>
              </w:rPr>
              <w:t>Министр</w:t>
            </w:r>
          </w:p>
          <w:p w:rsidR="00504C97" w:rsidRDefault="004D36C1">
            <w:r>
              <w:rPr>
                <w:rFonts w:ascii="PT Astra Serif" w:hAnsi="PT Astra Serif" w:cs="PT Astra Serif"/>
                <w:b/>
                <w:bCs/>
                <w:sz w:val="28"/>
                <w:szCs w:val="28"/>
              </w:rPr>
              <w:t xml:space="preserve">финансов Саратовской области             </w:t>
            </w:r>
          </w:p>
          <w:p w:rsidR="00504C97" w:rsidRDefault="00504C97">
            <w:pPr>
              <w:rPr>
                <w:rFonts w:ascii="PT Astra Serif" w:hAnsi="PT Astra Serif" w:cs="PT Astra Serif"/>
              </w:rPr>
            </w:pPr>
          </w:p>
        </w:tc>
        <w:tc>
          <w:tcPr>
            <w:tcW w:w="2568" w:type="dxa"/>
          </w:tcPr>
          <w:p w:rsidR="00504C97" w:rsidRDefault="00504C97">
            <w:pPr>
              <w:ind w:left="459" w:hanging="459"/>
              <w:jc w:val="right"/>
            </w:pPr>
          </w:p>
          <w:p w:rsidR="00504C97" w:rsidRDefault="004D36C1">
            <w:pPr>
              <w:ind w:left="459" w:hanging="459"/>
              <w:jc w:val="right"/>
              <w:rPr>
                <w:rFonts w:ascii="PT Astra Serif" w:hAnsi="PT Astra Serif" w:cs="PT Astra Serif"/>
              </w:rPr>
            </w:pPr>
            <w:r>
              <w:rPr>
                <w:rFonts w:ascii="PT Astra Serif" w:hAnsi="PT Astra Serif" w:cs="PT Astra Serif"/>
                <w:b/>
                <w:bCs/>
                <w:sz w:val="28"/>
                <w:szCs w:val="28"/>
              </w:rPr>
              <w:t xml:space="preserve">И.С. </w:t>
            </w:r>
            <w:proofErr w:type="spellStart"/>
            <w:r>
              <w:rPr>
                <w:rFonts w:ascii="PT Astra Serif" w:hAnsi="PT Astra Serif" w:cs="PT Astra Serif"/>
                <w:b/>
                <w:bCs/>
                <w:sz w:val="28"/>
                <w:szCs w:val="28"/>
              </w:rPr>
              <w:t>Бегинина</w:t>
            </w:r>
            <w:proofErr w:type="spellEnd"/>
          </w:p>
        </w:tc>
      </w:tr>
      <w:tr w:rsidR="00504C97">
        <w:tc>
          <w:tcPr>
            <w:tcW w:w="7338" w:type="dxa"/>
          </w:tcPr>
          <w:p w:rsidR="00E90309" w:rsidRDefault="00E90309">
            <w:pPr>
              <w:rPr>
                <w:rFonts w:ascii="PT Astra Serif" w:hAnsi="PT Astra Serif" w:cs="PT Astra Serif"/>
                <w:b/>
                <w:bCs/>
                <w:sz w:val="28"/>
                <w:szCs w:val="28"/>
              </w:rPr>
            </w:pPr>
          </w:p>
          <w:p w:rsidR="00504C97" w:rsidRDefault="004D36C1">
            <w:r>
              <w:rPr>
                <w:rFonts w:ascii="PT Astra Serif" w:hAnsi="PT Astra Serif" w:cs="PT Astra Serif"/>
                <w:b/>
                <w:bCs/>
                <w:sz w:val="28"/>
                <w:szCs w:val="28"/>
              </w:rPr>
              <w:t>Начальника бюджетного управления</w:t>
            </w:r>
          </w:p>
          <w:p w:rsidR="00504C97" w:rsidRDefault="004D36C1">
            <w:r>
              <w:rPr>
                <w:rFonts w:ascii="PT Astra Serif" w:hAnsi="PT Astra Serif" w:cs="PT Astra Serif"/>
                <w:b/>
                <w:bCs/>
                <w:sz w:val="28"/>
                <w:szCs w:val="28"/>
              </w:rPr>
              <w:t>министерства финансов Саратовской области</w:t>
            </w:r>
          </w:p>
          <w:p w:rsidR="00504C97" w:rsidRDefault="00504C97">
            <w:pPr>
              <w:rPr>
                <w:rFonts w:ascii="PT Astra Serif" w:hAnsi="PT Astra Serif" w:cs="PT Astra Serif"/>
              </w:rPr>
            </w:pPr>
          </w:p>
        </w:tc>
        <w:tc>
          <w:tcPr>
            <w:tcW w:w="2568" w:type="dxa"/>
          </w:tcPr>
          <w:p w:rsidR="00504C97" w:rsidRDefault="00504C97">
            <w:pPr>
              <w:jc w:val="right"/>
            </w:pPr>
          </w:p>
          <w:p w:rsidR="00504C97" w:rsidRDefault="00504C97">
            <w:pPr>
              <w:jc w:val="right"/>
            </w:pPr>
          </w:p>
          <w:p w:rsidR="00504C97" w:rsidRDefault="004D36C1">
            <w:pPr>
              <w:jc w:val="right"/>
              <w:rPr>
                <w:rFonts w:ascii="PT Astra Serif" w:hAnsi="PT Astra Serif" w:cs="PT Astra Serif"/>
              </w:rPr>
            </w:pPr>
            <w:r>
              <w:rPr>
                <w:rFonts w:ascii="PT Astra Serif" w:hAnsi="PT Astra Serif" w:cs="PT Astra Serif"/>
                <w:b/>
                <w:bCs/>
                <w:sz w:val="28"/>
                <w:szCs w:val="28"/>
              </w:rPr>
              <w:t xml:space="preserve">     О.В. Петрова</w:t>
            </w:r>
          </w:p>
        </w:tc>
      </w:tr>
      <w:tr w:rsidR="00504C97">
        <w:tc>
          <w:tcPr>
            <w:tcW w:w="7338" w:type="dxa"/>
          </w:tcPr>
          <w:p w:rsidR="00E90309" w:rsidRDefault="00E90309">
            <w:pPr>
              <w:shd w:val="clear" w:color="auto" w:fill="FFFFFF"/>
              <w:jc w:val="both"/>
              <w:rPr>
                <w:rFonts w:ascii="PT Astra Serif" w:hAnsi="PT Astra Serif" w:cs="PT Astra Serif"/>
                <w:b/>
                <w:bCs/>
                <w:sz w:val="28"/>
                <w:szCs w:val="28"/>
              </w:rPr>
            </w:pPr>
          </w:p>
          <w:p w:rsidR="00504C97" w:rsidRDefault="004D36C1">
            <w:pPr>
              <w:shd w:val="clear" w:color="auto" w:fill="FFFFFF"/>
              <w:jc w:val="both"/>
            </w:pPr>
            <w:r>
              <w:rPr>
                <w:rFonts w:ascii="PT Astra Serif" w:hAnsi="PT Astra Serif" w:cs="PT Astra Serif"/>
                <w:b/>
                <w:bCs/>
                <w:sz w:val="28"/>
                <w:szCs w:val="28"/>
              </w:rPr>
              <w:t xml:space="preserve">Начальник управления </w:t>
            </w:r>
          </w:p>
          <w:p w:rsidR="00504C97" w:rsidRDefault="004D36C1">
            <w:pPr>
              <w:shd w:val="clear" w:color="auto" w:fill="FFFFFF"/>
              <w:jc w:val="both"/>
            </w:pPr>
            <w:r>
              <w:rPr>
                <w:rFonts w:ascii="PT Astra Serif" w:hAnsi="PT Astra Serif" w:cs="PT Astra Serif"/>
                <w:b/>
                <w:bCs/>
                <w:sz w:val="28"/>
                <w:szCs w:val="28"/>
              </w:rPr>
              <w:t xml:space="preserve">бюджетного учета и отчетности, </w:t>
            </w:r>
          </w:p>
          <w:p w:rsidR="00504C97" w:rsidRDefault="004D36C1">
            <w:pPr>
              <w:shd w:val="clear" w:color="auto" w:fill="FFFFFF"/>
              <w:jc w:val="both"/>
            </w:pPr>
            <w:r>
              <w:rPr>
                <w:rFonts w:ascii="PT Astra Serif" w:hAnsi="PT Astra Serif" w:cs="PT Astra Serif"/>
                <w:b/>
                <w:bCs/>
                <w:sz w:val="28"/>
                <w:szCs w:val="28"/>
              </w:rPr>
              <w:t xml:space="preserve">главный бухгалтер министерства </w:t>
            </w:r>
          </w:p>
          <w:p w:rsidR="00504C97" w:rsidRDefault="004D36C1">
            <w:pPr>
              <w:rPr>
                <w:rFonts w:ascii="PT Astra Serif" w:hAnsi="PT Astra Serif" w:cs="PT Astra Serif"/>
              </w:rPr>
            </w:pPr>
            <w:r>
              <w:rPr>
                <w:rFonts w:ascii="PT Astra Serif" w:hAnsi="PT Astra Serif" w:cs="PT Astra Serif"/>
                <w:b/>
                <w:bCs/>
                <w:sz w:val="28"/>
                <w:szCs w:val="28"/>
              </w:rPr>
              <w:t>финансов Саратовской области</w:t>
            </w:r>
          </w:p>
        </w:tc>
        <w:tc>
          <w:tcPr>
            <w:tcW w:w="2568" w:type="dxa"/>
          </w:tcPr>
          <w:p w:rsidR="00504C97" w:rsidRDefault="00504C97">
            <w:pPr>
              <w:jc w:val="right"/>
            </w:pPr>
          </w:p>
          <w:p w:rsidR="00504C97" w:rsidRDefault="00504C97">
            <w:pPr>
              <w:jc w:val="right"/>
            </w:pPr>
          </w:p>
          <w:p w:rsidR="00504C97" w:rsidRDefault="004D36C1">
            <w:pPr>
              <w:jc w:val="right"/>
              <w:rPr>
                <w:rFonts w:ascii="PT Astra Serif" w:hAnsi="PT Astra Serif" w:cs="PT Astra Serif"/>
                <w:b/>
                <w:bCs/>
                <w:sz w:val="28"/>
                <w:szCs w:val="28"/>
              </w:rPr>
            </w:pPr>
            <w:r>
              <w:rPr>
                <w:rFonts w:ascii="PT Astra Serif" w:hAnsi="PT Astra Serif" w:cs="PT Astra Serif"/>
                <w:b/>
                <w:bCs/>
                <w:sz w:val="28"/>
                <w:szCs w:val="28"/>
              </w:rPr>
              <w:t xml:space="preserve">   </w:t>
            </w:r>
          </w:p>
          <w:p w:rsidR="00504C97" w:rsidRDefault="004D36C1">
            <w:pPr>
              <w:jc w:val="right"/>
              <w:rPr>
                <w:rFonts w:ascii="PT Astra Serif" w:hAnsi="PT Astra Serif" w:cs="PT Astra Serif"/>
              </w:rPr>
            </w:pPr>
            <w:r>
              <w:rPr>
                <w:rFonts w:ascii="PT Astra Serif" w:hAnsi="PT Astra Serif" w:cs="PT Astra Serif"/>
                <w:b/>
                <w:bCs/>
                <w:sz w:val="28"/>
                <w:szCs w:val="28"/>
              </w:rPr>
              <w:t xml:space="preserve"> С.В. Ананьева</w:t>
            </w:r>
          </w:p>
        </w:tc>
      </w:tr>
    </w:tbl>
    <w:p w:rsidR="00504C97" w:rsidRDefault="00504C97">
      <w:pPr>
        <w:ind w:firstLine="700"/>
        <w:jc w:val="both"/>
        <w:rPr>
          <w:color w:val="000000"/>
        </w:rPr>
      </w:pPr>
    </w:p>
    <w:sectPr w:rsidR="00504C97" w:rsidSect="00177CED">
      <w:headerReference w:type="default" r:id="rId12"/>
      <w:headerReference w:type="first" r:id="rId13"/>
      <w:footerReference w:type="first" r:id="rId14"/>
      <w:pgSz w:w="11907" w:h="16840" w:code="9"/>
      <w:pgMar w:top="1134" w:right="851" w:bottom="964" w:left="1701"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C97" w:rsidRDefault="004D36C1">
      <w:r>
        <w:separator/>
      </w:r>
    </w:p>
  </w:endnote>
  <w:endnote w:type="continuationSeparator" w:id="0">
    <w:p w:rsidR="00504C97" w:rsidRDefault="004D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C97" w:rsidRDefault="00504C9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C97" w:rsidRDefault="004D36C1">
      <w:r>
        <w:separator/>
      </w:r>
    </w:p>
  </w:footnote>
  <w:footnote w:type="continuationSeparator" w:id="0">
    <w:p w:rsidR="00504C97" w:rsidRDefault="004D3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C97" w:rsidRDefault="004D36C1">
    <w:pPr>
      <w:pStyle w:val="ab"/>
      <w:jc w:val="center"/>
      <w:rPr>
        <w:rFonts w:ascii="PT Astra Serif" w:hAnsi="PT Astra Serif" w:cs="PT Astra Serif"/>
        <w:sz w:val="28"/>
        <w:szCs w:val="28"/>
      </w:rPr>
    </w:pPr>
    <w:r>
      <w:fldChar w:fldCharType="begin"/>
    </w:r>
    <w:r>
      <w:instrText>PAGE \* MERGEFORMAT</w:instrText>
    </w:r>
    <w:r>
      <w:fldChar w:fldCharType="separate"/>
    </w:r>
    <w:r w:rsidR="000930F8" w:rsidRPr="000930F8">
      <w:rPr>
        <w:rFonts w:ascii="PT Astra Serif" w:hAnsi="PT Astra Serif" w:cs="PT Astra Serif"/>
        <w:noProof/>
        <w:sz w:val="28"/>
        <w:szCs w:val="28"/>
      </w:rPr>
      <w:t>24</w:t>
    </w:r>
    <w:r>
      <w:rPr>
        <w:rFonts w:ascii="PT Astra Serif" w:hAnsi="PT Astra Serif" w:cs="PT Astra Serif"/>
        <w:sz w:val="28"/>
        <w:szCs w:val="28"/>
      </w:rPr>
      <w:fldChar w:fldCharType="end"/>
    </w:r>
  </w:p>
  <w:p w:rsidR="00504C97" w:rsidRDefault="00504C97">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C97" w:rsidRDefault="00504C97">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C97"/>
    <w:rsid w:val="000930F8"/>
    <w:rsid w:val="00177CED"/>
    <w:rsid w:val="004D36C1"/>
    <w:rsid w:val="00504C97"/>
    <w:rsid w:val="00E90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basedOn w:val="a0"/>
    <w:uiPriority w:val="35"/>
    <w:rPr>
      <w:b/>
      <w:bCs/>
      <w:color w:val="7EAADF" w:themeColor="accent1"/>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ae">
    <w:name w:val="Нижний колонтитул Знак"/>
    <w:basedOn w:val="a0"/>
    <w:link w:val="ad"/>
    <w:uiPriority w:val="99"/>
  </w:style>
  <w:style w:type="paragraph" w:styleId="af">
    <w:name w:val="caption"/>
    <w:basedOn w:val="a"/>
    <w:next w:val="a"/>
    <w:link w:val="af0"/>
    <w:uiPriority w:val="35"/>
    <w:semiHidden/>
    <w:unhideWhenUsed/>
    <w:qFormat/>
    <w:pPr>
      <w:spacing w:line="276" w:lineRule="auto"/>
    </w:pPr>
    <w:rPr>
      <w:b/>
      <w:bCs/>
      <w:color w:val="7EAADF" w:themeColor="accent1"/>
      <w:sz w:val="18"/>
      <w:szCs w:val="18"/>
    </w:rPr>
  </w:style>
  <w:style w:type="character" w:customStyle="1" w:styleId="af0">
    <w:name w:val="Название объекта Знак"/>
    <w:basedOn w:val="a0"/>
    <w:link w:val="af"/>
    <w:uiPriority w:val="35"/>
    <w:rPr>
      <w:b/>
      <w:bCs/>
      <w:color w:val="7EAADF" w:themeColor="accent1"/>
      <w:sz w:val="18"/>
      <w:szCs w:val="18"/>
    </w:rPr>
  </w:style>
  <w:style w:type="table" w:styleId="af1">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rPr>
      <w:hidden/>
    </w:tr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rPr>
      <w:hidden/>
    </w:tr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rPr>
        <w:hidden/>
      </w:trPr>
      <w:tcPr>
        <w:shd w:val="clear" w:color="F2F2F2" w:themeColor="text1" w:themeTint="0D" w:fill="F2F2F2" w:themeFill="text1" w:themeFillTint="0D"/>
      </w:tcPr>
    </w:tblStylePr>
    <w:tblStylePr w:type="band1Horz">
      <w:tblPr/>
      <w:trPr>
        <w:hidden/>
      </w:tr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rPr>
        <w:hidden/>
      </w:trPr>
      <w:tcPr>
        <w:tcBorders>
          <w:left w:val="single" w:sz="4" w:space="0" w:color="000000" w:themeColor="text1"/>
          <w:right w:val="single" w:sz="4" w:space="0" w:color="000000" w:themeColor="text1"/>
        </w:tcBorders>
      </w:tcPr>
    </w:tblStylePr>
    <w:tblStylePr w:type="band2Vert">
      <w:tblPr/>
      <w:trPr>
        <w:hidden/>
      </w:trPr>
      <w:tcPr>
        <w:tcBorders>
          <w:left w:val="single" w:sz="4" w:space="0" w:color="000000" w:themeColor="text1"/>
          <w:right w:val="single" w:sz="4" w:space="0" w:color="000000" w:themeColor="text1"/>
        </w:tcBorders>
      </w:tcPr>
    </w:tblStylePr>
    <w:tblStylePr w:type="band1Horz">
      <w:tblPr/>
      <w:trPr>
        <w:hidden/>
      </w:tr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aps/>
        <w:color w:val="404040"/>
      </w:rPr>
      <w:tblPr/>
      <w:trPr>
        <w:hidden/>
      </w:tr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rPr>
        <w:hidden/>
      </w:tr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rPr>
        <w:hidden/>
      </w:trPr>
      <w:tcPr>
        <w:shd w:val="clear" w:color="F2F2F2" w:themeColor="text1" w:themeTint="0D" w:fill="F2F2F2" w:themeFill="text1" w:themeFillTint="0D"/>
      </w:tcPr>
    </w:tblStylePr>
    <w:tblStylePr w:type="band1Horz">
      <w:rPr>
        <w:rFonts w:ascii="Arial" w:hAnsi="Arial"/>
        <w:color w:val="404040"/>
        <w:sz w:val="22"/>
      </w:rPr>
      <w:tblPr/>
      <w:trPr>
        <w:hidden/>
      </w:tr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2F2F2" w:themeColor="text1" w:themeTint="0D" w:fill="F2F2F2" w:themeFill="text1" w:themeFillTint="0D"/>
      </w:tcPr>
    </w:tblStylePr>
    <w:tblStylePr w:type="band1Horz">
      <w:rPr>
        <w:rFonts w:ascii="Arial" w:hAnsi="Arial"/>
        <w:color w:val="404040"/>
        <w:sz w:val="22"/>
      </w:rPr>
      <w:tblPr/>
      <w:trPr>
        <w:hidden/>
      </w:tr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i/>
        <w:color w:val="404040"/>
      </w:rPr>
      <w:tblPr/>
      <w:trPr>
        <w:hidden/>
      </w:tr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rPr>
        <w:hidden/>
      </w:tr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rPr>
        <w:hidden/>
      </w:trPr>
      <w:tcPr>
        <w:tcBorders>
          <w:right w:val="single" w:sz="4" w:space="0" w:color="404040"/>
        </w:tcBorders>
        <w:shd w:val="clear" w:color="FFFFFF" w:fill="auto"/>
      </w:tcPr>
    </w:tblStylePr>
    <w:tblStylePr w:type="lastCol">
      <w:rPr>
        <w:i/>
        <w:color w:val="404040"/>
      </w:rPr>
      <w:tblPr/>
      <w:trPr>
        <w:hidden/>
      </w:trPr>
      <w:tcPr>
        <w:tcBorders>
          <w:left w:val="single" w:sz="4" w:space="0" w:color="404040"/>
        </w:tcBorders>
        <w:shd w:val="clear" w:color="FFFFFF" w:fill="auto"/>
      </w:tcPr>
    </w:tblStylePr>
    <w:tblStylePr w:type="band1Vert">
      <w:rPr>
        <w:rFonts w:ascii="Arial" w:hAnsi="Arial"/>
        <w:color w:val="404040"/>
        <w:sz w:val="22"/>
      </w:rPr>
      <w:tblPr/>
      <w:trPr>
        <w:hidden/>
      </w:trPr>
      <w:tcPr>
        <w:shd w:val="clear" w:color="F2F2F2" w:themeColor="text1" w:themeTint="0D" w:fill="F2F2F2" w:themeFill="text1" w:themeFillTint="0D"/>
      </w:tcPr>
    </w:tblStylePr>
    <w:tblStylePr w:type="band1Horz">
      <w:rPr>
        <w:rFonts w:ascii="Arial" w:hAnsi="Arial"/>
        <w:color w:val="404040"/>
        <w:sz w:val="22"/>
      </w:rPr>
      <w:tblPr/>
      <w:trPr>
        <w:hidden/>
      </w:tr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insideH w:val="single" w:sz="4" w:space="0" w:color="CADCF2" w:themeColor="accent1" w:themeTint="67"/>
        <w:insideV w:val="single" w:sz="4" w:space="0" w:color="CADCF2" w:themeColor="accent1"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B3CDE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insideH w:val="single" w:sz="4" w:space="0" w:color="F6C5C4" w:themeColor="accent2" w:themeTint="67"/>
        <w:insideV w:val="single" w:sz="4" w:space="0" w:color="F6C5C4" w:themeColor="accent2"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F2ACAA"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insideH w:val="single" w:sz="4" w:space="0" w:color="DCEEC6" w:themeColor="accent3" w:themeTint="67"/>
        <w:insideV w:val="single" w:sz="4" w:space="0" w:color="DCEEC6" w:themeColor="accent3"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CCE7A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insideH w:val="single" w:sz="4" w:space="0" w:color="DBD0E9" w:themeColor="accent4" w:themeTint="67"/>
        <w:insideV w:val="single" w:sz="4" w:space="0" w:color="DBD0E9" w:themeColor="accent4"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CBBBD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insideH w:val="single" w:sz="4" w:space="0" w:color="C8E9F3" w:themeColor="accent5" w:themeTint="67"/>
        <w:insideV w:val="single" w:sz="4" w:space="0" w:color="C8E9F3" w:themeColor="accent5"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AFE0E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insideH w:val="single" w:sz="4" w:space="0" w:color="FDE5D0" w:themeColor="accent6" w:themeTint="67"/>
        <w:insideV w:val="single" w:sz="4" w:space="0" w:color="FDE5D0" w:themeColor="accent6"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FDD9BB"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rPr>
        <w:hidden/>
      </w:tr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CBCBCB" w:themeColor="text1" w:themeTint="34" w:fill="CBCBCB" w:themeFill="text1" w:themeFillTint="34"/>
      </w:tcPr>
    </w:tblStylePr>
    <w:tblStylePr w:type="band1Horz">
      <w:rPr>
        <w:rFonts w:ascii="Arial" w:hAnsi="Arial"/>
        <w:color w:val="404040"/>
        <w:sz w:val="22"/>
      </w:rPr>
      <w:tblPr/>
      <w:trPr>
        <w:hidden/>
      </w:tr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88B0E1" w:themeColor="accent1" w:themeTint="EA"/>
        <w:insideH w:val="single" w:sz="4" w:space="0" w:color="88B0E1" w:themeColor="accent1" w:themeTint="EA"/>
        <w:insideV w:val="single" w:sz="4" w:space="0" w:color="88B0E1" w:themeColor="accent1" w:themeTint="EA"/>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88B0E1" w:themeColor="accent1" w:themeTint="EA"/>
          <w:right w:val="none" w:sz="4" w:space="0" w:color="000000"/>
        </w:tcBorders>
        <w:shd w:val="clear" w:color="FFFFFF" w:fill="auto"/>
      </w:tcPr>
    </w:tblStylePr>
    <w:tblStylePr w:type="lastRow">
      <w:rPr>
        <w:b/>
        <w:color w:val="404040"/>
      </w:rPr>
      <w:tblPr/>
      <w:trPr>
        <w:hidden/>
      </w:trPr>
      <w:tcPr>
        <w:tcBorders>
          <w:top w:val="single" w:sz="4" w:space="0" w:color="88B0E1"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4EDF8" w:themeColor="accent1" w:themeTint="34" w:fill="E4EDF8" w:themeFill="accent1" w:themeFillTint="34"/>
      </w:tcPr>
    </w:tblStylePr>
    <w:tblStylePr w:type="band1Horz">
      <w:rPr>
        <w:rFonts w:ascii="Arial" w:hAnsi="Arial"/>
        <w:color w:val="404040"/>
        <w:sz w:val="22"/>
      </w:rPr>
      <w:tblPr/>
      <w:trPr>
        <w:hidden/>
      </w:trPr>
      <w:tcPr>
        <w:shd w:val="clear" w:color="E4EDF8" w:themeColor="accent1" w:themeTint="34" w:fill="E4EDF8"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F2ABA9" w:themeColor="accent2" w:themeTint="97"/>
        <w:insideH w:val="single" w:sz="4" w:space="0" w:color="F2ABA9" w:themeColor="accent2" w:themeTint="97"/>
        <w:insideV w:val="single" w:sz="4" w:space="0" w:color="F2ABA9" w:themeColor="accent2" w:themeTint="97"/>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F2ABA9" w:themeColor="accent2" w:themeTint="97"/>
          <w:right w:val="none" w:sz="4" w:space="0" w:color="000000"/>
        </w:tcBorders>
        <w:shd w:val="clear" w:color="FFFFFF" w:fill="auto"/>
      </w:tcPr>
    </w:tblStylePr>
    <w:tblStylePr w:type="lastRow">
      <w:rPr>
        <w:b/>
        <w:color w:val="404040"/>
      </w:rPr>
      <w:tblPr/>
      <w:trPr>
        <w:hidden/>
      </w:trPr>
      <w:tcPr>
        <w:tcBorders>
          <w:top w:val="single" w:sz="4" w:space="0" w:color="F2ABA9"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BE2E2" w:themeColor="accent2" w:themeTint="32" w:fill="FBE2E2" w:themeFill="accent2" w:themeFillTint="32"/>
      </w:tcPr>
    </w:tblStylePr>
    <w:tblStylePr w:type="band1Horz">
      <w:rPr>
        <w:rFonts w:ascii="Arial" w:hAnsi="Arial"/>
        <w:color w:val="404040"/>
        <w:sz w:val="22"/>
      </w:rPr>
      <w:tblPr/>
      <w:trPr>
        <w:hidden/>
      </w:trPr>
      <w:tcPr>
        <w:shd w:val="clear" w:color="FBE2E2" w:themeColor="accent2" w:themeTint="32" w:fill="FBE2E2"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A9D774" w:themeColor="accent3" w:themeTint="FE"/>
        <w:insideH w:val="single" w:sz="4" w:space="0" w:color="A9D774" w:themeColor="accent3" w:themeTint="FE"/>
        <w:insideV w:val="single" w:sz="4" w:space="0" w:color="A9D774" w:themeColor="accent3" w:themeTint="FE"/>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A9D774" w:themeColor="accent3" w:themeTint="FE"/>
          <w:right w:val="none" w:sz="4" w:space="0" w:color="000000"/>
        </w:tcBorders>
        <w:shd w:val="clear" w:color="FFFFFF" w:fill="auto"/>
      </w:tcPr>
    </w:tblStylePr>
    <w:tblStylePr w:type="lastRow">
      <w:rPr>
        <w:b/>
        <w:color w:val="404040"/>
      </w:rPr>
      <w:tblPr/>
      <w:trPr>
        <w:hidden/>
      </w:trPr>
      <w:tcPr>
        <w:tcBorders>
          <w:top w:val="single" w:sz="4" w:space="0" w:color="A9D77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DF6E2" w:themeColor="accent3" w:themeTint="34" w:fill="EDF6E2" w:themeFill="accent3" w:themeFillTint="34"/>
      </w:tcPr>
    </w:tblStylePr>
    <w:tblStylePr w:type="band1Horz">
      <w:rPr>
        <w:rFonts w:ascii="Arial" w:hAnsi="Arial"/>
        <w:color w:val="404040"/>
        <w:sz w:val="22"/>
      </w:rPr>
      <w:tblPr/>
      <w:trPr>
        <w:hidden/>
      </w:trPr>
      <w:tcPr>
        <w:shd w:val="clear" w:color="EDF6E2" w:themeColor="accent3" w:themeTint="34" w:fill="EDF6E2"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C9B8DE" w:themeColor="accent4" w:themeTint="9A"/>
        <w:insideH w:val="single" w:sz="4" w:space="0" w:color="C9B8DE" w:themeColor="accent4" w:themeTint="9A"/>
        <w:insideV w:val="single" w:sz="4" w:space="0" w:color="C9B8DE" w:themeColor="accent4" w:themeTint="9A"/>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C9B8DE" w:themeColor="accent4" w:themeTint="9A"/>
          <w:right w:val="none" w:sz="4" w:space="0" w:color="000000"/>
        </w:tcBorders>
        <w:shd w:val="clear" w:color="FFFFFF" w:fill="auto"/>
      </w:tcPr>
    </w:tblStylePr>
    <w:tblStylePr w:type="lastRow">
      <w:rPr>
        <w:b/>
        <w:color w:val="404040"/>
      </w:rPr>
      <w:tblPr/>
      <w:trPr>
        <w:hidden/>
      </w:trPr>
      <w:tcPr>
        <w:tcBorders>
          <w:top w:val="single" w:sz="4" w:space="0" w:color="C9B8DE"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DE7F4" w:themeColor="accent4" w:themeTint="34" w:fill="EDE7F4" w:themeFill="accent4" w:themeFillTint="34"/>
      </w:tcPr>
    </w:tblStylePr>
    <w:tblStylePr w:type="band1Horz">
      <w:rPr>
        <w:rFonts w:ascii="Arial" w:hAnsi="Arial"/>
        <w:color w:val="404040"/>
        <w:sz w:val="22"/>
      </w:rPr>
      <w:tblPr/>
      <w:trPr>
        <w:hidden/>
      </w:trPr>
      <w:tcPr>
        <w:shd w:val="clear" w:color="EDE7F4" w:themeColor="accent4" w:themeTint="34" w:fill="EDE7F4"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78CBE1" w:themeColor="accent5"/>
        <w:insideH w:val="single" w:sz="4" w:space="0" w:color="78CBE1" w:themeColor="accent5"/>
        <w:insideV w:val="single" w:sz="4" w:space="0" w:color="78CBE1" w:themeColor="accent5"/>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78CBE1" w:themeColor="accent5"/>
          <w:right w:val="none" w:sz="4" w:space="0" w:color="000000"/>
        </w:tcBorders>
        <w:shd w:val="clear" w:color="FFFFFF" w:fill="auto"/>
      </w:tcPr>
    </w:tblStylePr>
    <w:tblStylePr w:type="lastRow">
      <w:rPr>
        <w:b/>
        <w:color w:val="404040"/>
      </w:rPr>
      <w:tblPr/>
      <w:trPr>
        <w:hidden/>
      </w:trPr>
      <w:tcPr>
        <w:tcBorders>
          <w:top w:val="single" w:sz="4" w:space="0" w:color="78CBE1"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3F4F9" w:themeColor="accent5" w:themeTint="34" w:fill="E3F4F9" w:themeFill="accent5" w:themeFillTint="34"/>
      </w:tcPr>
    </w:tblStylePr>
    <w:tblStylePr w:type="band1Horz">
      <w:rPr>
        <w:rFonts w:ascii="Arial" w:hAnsi="Arial"/>
        <w:color w:val="404040"/>
        <w:sz w:val="22"/>
      </w:rPr>
      <w:tblPr/>
      <w:trPr>
        <w:hidden/>
      </w:trPr>
      <w:tcPr>
        <w:shd w:val="clear" w:color="E3F4F9" w:themeColor="accent5" w:themeTint="34" w:fill="E3F4F9"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CBF8C" w:themeColor="accent6"/>
        <w:insideH w:val="single" w:sz="4" w:space="0" w:color="FCBF8C" w:themeColor="accent6"/>
        <w:insideV w:val="single" w:sz="4" w:space="0" w:color="FCBF8C" w:themeColor="accent6"/>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FCBF8C" w:themeColor="accent6"/>
          <w:right w:val="none" w:sz="4" w:space="0" w:color="000000"/>
        </w:tcBorders>
        <w:shd w:val="clear" w:color="FFFFFF" w:fill="auto"/>
      </w:tcPr>
    </w:tblStylePr>
    <w:tblStylePr w:type="lastRow">
      <w:rPr>
        <w:b/>
        <w:color w:val="404040"/>
      </w:rPr>
      <w:tblPr/>
      <w:trPr>
        <w:hidden/>
      </w:trPr>
      <w:tcPr>
        <w:tcBorders>
          <w:top w:val="single" w:sz="4" w:space="0" w:color="FCBF8C"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EF1E7" w:themeColor="accent6" w:themeTint="34" w:fill="FEF1E7" w:themeFill="accent6" w:themeFillTint="34"/>
      </w:tcPr>
    </w:tblStylePr>
    <w:tblStylePr w:type="band1Horz">
      <w:rPr>
        <w:rFonts w:ascii="Arial" w:hAnsi="Arial"/>
        <w:color w:val="404040"/>
        <w:sz w:val="22"/>
      </w:rPr>
      <w:tblPr/>
      <w:trPr>
        <w:hidden/>
      </w:trPr>
      <w:tcPr>
        <w:shd w:val="clear" w:color="FEF1E7" w:themeColor="accent6" w:themeTint="34" w:fill="FEF1E7"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CBCBCB" w:themeColor="text1" w:themeTint="34" w:fill="CBCBCB" w:themeFill="text1" w:themeFillTint="34"/>
      </w:tcPr>
    </w:tblStylePr>
    <w:tblStylePr w:type="band1Horz">
      <w:rPr>
        <w:rFonts w:ascii="Arial" w:hAnsi="Arial"/>
        <w:color w:val="404040"/>
        <w:sz w:val="22"/>
      </w:rPr>
      <w:tblPr/>
      <w:trPr>
        <w:hidden/>
      </w:tr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88B0E1" w:themeColor="accent1" w:themeTint="EA"/>
        <w:insideH w:val="single" w:sz="4" w:space="0" w:color="88B0E1" w:themeColor="accent1" w:themeTint="EA"/>
        <w:insideV w:val="single" w:sz="4" w:space="0" w:color="88B0E1" w:themeColor="accent1" w:themeTint="EA"/>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E4EDF8" w:themeColor="accent1" w:themeTint="34" w:fill="E4EDF8" w:themeFill="accent1" w:themeFillTint="34"/>
      </w:tcPr>
    </w:tblStylePr>
    <w:tblStylePr w:type="band1Horz">
      <w:rPr>
        <w:rFonts w:ascii="Arial" w:hAnsi="Arial"/>
        <w:color w:val="404040"/>
        <w:sz w:val="22"/>
      </w:rPr>
      <w:tblPr/>
      <w:trPr>
        <w:hidden/>
      </w:trPr>
      <w:tcPr>
        <w:shd w:val="clear" w:color="E4EDF8" w:themeColor="accent1" w:themeTint="34" w:fill="E4EDF8"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F2ABA9" w:themeColor="accent2" w:themeTint="97"/>
        <w:insideH w:val="single" w:sz="4" w:space="0" w:color="F2ABA9" w:themeColor="accent2" w:themeTint="97"/>
        <w:insideV w:val="single" w:sz="4" w:space="0" w:color="F2ABA9" w:themeColor="accent2" w:themeTint="97"/>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FBE2E2" w:themeColor="accent2" w:themeTint="32" w:fill="FBE2E2" w:themeFill="accent2" w:themeFillTint="32"/>
      </w:tcPr>
    </w:tblStylePr>
    <w:tblStylePr w:type="band1Horz">
      <w:rPr>
        <w:rFonts w:ascii="Arial" w:hAnsi="Arial"/>
        <w:color w:val="404040"/>
        <w:sz w:val="22"/>
      </w:rPr>
      <w:tblPr/>
      <w:trPr>
        <w:hidden/>
      </w:trPr>
      <w:tcPr>
        <w:shd w:val="clear" w:color="FBE2E2" w:themeColor="accent2" w:themeTint="32" w:fill="FBE2E2"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A9D774" w:themeColor="accent3" w:themeTint="FE"/>
        <w:insideH w:val="single" w:sz="4" w:space="0" w:color="A9D774" w:themeColor="accent3" w:themeTint="FE"/>
        <w:insideV w:val="single" w:sz="4" w:space="0" w:color="A9D774" w:themeColor="accent3" w:themeTint="FE"/>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EDF6E2" w:themeColor="accent3" w:themeTint="34" w:fill="EDF6E2" w:themeFill="accent3" w:themeFillTint="34"/>
      </w:tcPr>
    </w:tblStylePr>
    <w:tblStylePr w:type="band1Horz">
      <w:rPr>
        <w:rFonts w:ascii="Arial" w:hAnsi="Arial"/>
        <w:color w:val="404040"/>
        <w:sz w:val="22"/>
      </w:rPr>
      <w:tblPr/>
      <w:trPr>
        <w:hidden/>
      </w:trPr>
      <w:tcPr>
        <w:shd w:val="clear" w:color="EDF6E2" w:themeColor="accent3" w:themeTint="34" w:fill="EDF6E2"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C9B8DE" w:themeColor="accent4" w:themeTint="9A"/>
        <w:insideH w:val="single" w:sz="4" w:space="0" w:color="C9B8DE" w:themeColor="accent4" w:themeTint="9A"/>
        <w:insideV w:val="single" w:sz="4" w:space="0" w:color="C9B8DE" w:themeColor="accent4" w:themeTint="9A"/>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EDE7F4" w:themeColor="accent4" w:themeTint="34" w:fill="EDE7F4" w:themeFill="accent4" w:themeFillTint="34"/>
      </w:tcPr>
    </w:tblStylePr>
    <w:tblStylePr w:type="band1Horz">
      <w:rPr>
        <w:rFonts w:ascii="Arial" w:hAnsi="Arial"/>
        <w:color w:val="404040"/>
        <w:sz w:val="22"/>
      </w:rPr>
      <w:tblPr/>
      <w:trPr>
        <w:hidden/>
      </w:trPr>
      <w:tcPr>
        <w:shd w:val="clear" w:color="EDE7F4" w:themeColor="accent4" w:themeTint="34" w:fill="EDE7F4"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78CBE1" w:themeColor="accent5"/>
        <w:insideH w:val="single" w:sz="4" w:space="0" w:color="78CBE1" w:themeColor="accent5"/>
        <w:insideV w:val="single" w:sz="4" w:space="0" w:color="78CBE1" w:themeColor="accent5"/>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E3F4F9" w:themeColor="accent5" w:themeTint="34" w:fill="E3F4F9" w:themeFill="accent5" w:themeFillTint="34"/>
      </w:tcPr>
    </w:tblStylePr>
    <w:tblStylePr w:type="band1Horz">
      <w:rPr>
        <w:rFonts w:ascii="Arial" w:hAnsi="Arial"/>
        <w:color w:val="404040"/>
        <w:sz w:val="22"/>
      </w:rPr>
      <w:tblPr/>
      <w:trPr>
        <w:hidden/>
      </w:trPr>
      <w:tcPr>
        <w:shd w:val="clear" w:color="E3F4F9" w:themeColor="accent5" w:themeTint="34" w:fill="E3F4F9"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CBF8C" w:themeColor="accent6"/>
        <w:insideH w:val="single" w:sz="4" w:space="0" w:color="FCBF8C" w:themeColor="accent6"/>
        <w:insideV w:val="single" w:sz="4" w:space="0" w:color="FCBF8C" w:themeColor="accent6"/>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FEF1E7" w:themeColor="accent6" w:themeTint="34" w:fill="FEF1E7" w:themeFill="accent6" w:themeFillTint="34"/>
      </w:tcPr>
    </w:tblStylePr>
    <w:tblStylePr w:type="band1Horz">
      <w:rPr>
        <w:rFonts w:ascii="Arial" w:hAnsi="Arial"/>
        <w:color w:val="404040"/>
        <w:sz w:val="22"/>
      </w:rPr>
      <w:tblPr/>
      <w:trPr>
        <w:hidden/>
      </w:trPr>
      <w:tcPr>
        <w:shd w:val="clear" w:color="FEF1E7" w:themeColor="accent6" w:themeTint="34" w:fill="FEF1E7"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rPr>
        <w:hidden/>
      </w:tr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CBCBCB" w:themeColor="text1" w:themeTint="34" w:fill="CBCBCB" w:themeFill="text1" w:themeFillTint="34"/>
      </w:tcPr>
    </w:tblStylePr>
    <w:tblStylePr w:type="band1Horz">
      <w:rPr>
        <w:rFonts w:ascii="Arial" w:hAnsi="Arial"/>
        <w:color w:val="404040"/>
        <w:sz w:val="22"/>
      </w:rPr>
      <w:tblPr/>
      <w:trPr>
        <w:hidden/>
      </w:tr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B6CEED" w:themeColor="accent1" w:themeTint="90"/>
        <w:left w:val="single" w:sz="4" w:space="0" w:color="B6CEED" w:themeColor="accent1" w:themeTint="90"/>
        <w:bottom w:val="single" w:sz="4" w:space="0" w:color="B6CEED" w:themeColor="accent1" w:themeTint="90"/>
        <w:right w:val="single" w:sz="4" w:space="0" w:color="B6CEED" w:themeColor="accent1" w:themeTint="90"/>
        <w:insideH w:val="single" w:sz="4" w:space="0" w:color="B6CEED" w:themeColor="accent1" w:themeTint="90"/>
        <w:insideV w:val="single" w:sz="4" w:space="0" w:color="B6CEED" w:themeColor="accent1"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88B0E1" w:themeColor="accent1" w:themeTint="EA"/>
          <w:left w:val="single" w:sz="4" w:space="0" w:color="88B0E1" w:themeColor="accent1" w:themeTint="EA"/>
          <w:bottom w:val="single" w:sz="4" w:space="0" w:color="88B0E1" w:themeColor="accent1" w:themeTint="EA"/>
          <w:right w:val="single" w:sz="4" w:space="0" w:color="88B0E1" w:themeColor="accent1" w:themeTint="EA"/>
        </w:tcBorders>
        <w:shd w:val="clear" w:color="88B0E1" w:themeColor="accent1" w:themeTint="EA" w:fill="88B0E1" w:themeFill="accent1" w:themeFillTint="EA"/>
      </w:tcPr>
    </w:tblStylePr>
    <w:tblStylePr w:type="lastRow">
      <w:rPr>
        <w:b/>
        <w:color w:val="404040"/>
      </w:rPr>
      <w:tblPr/>
      <w:trPr>
        <w:hidden/>
      </w:trPr>
      <w:tcPr>
        <w:tcBorders>
          <w:top w:val="single" w:sz="4" w:space="0" w:color="88B0E1"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5EEF8" w:themeColor="accent1" w:themeTint="32" w:fill="E5EEF8" w:themeFill="accent1" w:themeFillTint="32"/>
      </w:tcPr>
    </w:tblStylePr>
    <w:tblStylePr w:type="band1Horz">
      <w:rPr>
        <w:rFonts w:ascii="Arial" w:hAnsi="Arial"/>
        <w:color w:val="404040"/>
        <w:sz w:val="22"/>
      </w:rPr>
      <w:tblPr/>
      <w:trPr>
        <w:hidden/>
      </w:trPr>
      <w:tcPr>
        <w:shd w:val="clear" w:color="E5EEF8" w:themeColor="accent1" w:themeTint="32" w:fill="E5EEF8"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F3AFAD" w:themeColor="accent2" w:themeTint="90"/>
        <w:left w:val="single" w:sz="4" w:space="0" w:color="F3AFAD" w:themeColor="accent2" w:themeTint="90"/>
        <w:bottom w:val="single" w:sz="4" w:space="0" w:color="F3AFAD" w:themeColor="accent2" w:themeTint="90"/>
        <w:right w:val="single" w:sz="4" w:space="0" w:color="F3AFAD" w:themeColor="accent2" w:themeTint="90"/>
        <w:insideH w:val="single" w:sz="4" w:space="0" w:color="F3AFAD" w:themeColor="accent2" w:themeTint="90"/>
        <w:insideV w:val="single" w:sz="4" w:space="0" w:color="F3AFAD" w:themeColor="accent2"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tcBorders>
        <w:shd w:val="clear" w:color="F2ABA9" w:themeColor="accent2" w:themeTint="97" w:fill="F2ABA9" w:themeFill="accent2" w:themeFillTint="97"/>
      </w:tcPr>
    </w:tblStylePr>
    <w:tblStylePr w:type="lastRow">
      <w:rPr>
        <w:b/>
        <w:color w:val="404040"/>
      </w:rPr>
      <w:tblPr/>
      <w:trPr>
        <w:hidden/>
      </w:trPr>
      <w:tcPr>
        <w:tcBorders>
          <w:top w:val="single" w:sz="4" w:space="0" w:color="F2ABA9"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BE2E2" w:themeColor="accent2" w:themeTint="32" w:fill="FBE2E2" w:themeFill="accent2" w:themeFillTint="32"/>
      </w:tcPr>
    </w:tblStylePr>
    <w:tblStylePr w:type="band1Horz">
      <w:rPr>
        <w:rFonts w:ascii="Arial" w:hAnsi="Arial"/>
        <w:color w:val="404040"/>
        <w:sz w:val="22"/>
      </w:rPr>
      <w:tblPr/>
      <w:trPr>
        <w:hidden/>
      </w:trPr>
      <w:tcPr>
        <w:shd w:val="clear" w:color="FBE2E2" w:themeColor="accent2" w:themeTint="32" w:fill="FBE2E2"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EE8B0" w:themeColor="accent3" w:themeTint="90"/>
        <w:left w:val="single" w:sz="4" w:space="0" w:color="CEE8B0" w:themeColor="accent3" w:themeTint="90"/>
        <w:bottom w:val="single" w:sz="4" w:space="0" w:color="CEE8B0" w:themeColor="accent3" w:themeTint="90"/>
        <w:right w:val="single" w:sz="4" w:space="0" w:color="CEE8B0" w:themeColor="accent3" w:themeTint="90"/>
        <w:insideH w:val="single" w:sz="4" w:space="0" w:color="CEE8B0" w:themeColor="accent3" w:themeTint="90"/>
        <w:insideV w:val="single" w:sz="4" w:space="0" w:color="CEE8B0" w:themeColor="accent3"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A9D774" w:themeColor="accent3" w:themeTint="FE"/>
          <w:left w:val="single" w:sz="4" w:space="0" w:color="A9D774" w:themeColor="accent3" w:themeTint="FE"/>
          <w:bottom w:val="single" w:sz="4" w:space="0" w:color="A9D774" w:themeColor="accent3" w:themeTint="FE"/>
          <w:right w:val="single" w:sz="4" w:space="0" w:color="A9D774" w:themeColor="accent3" w:themeTint="FE"/>
        </w:tcBorders>
        <w:shd w:val="clear" w:color="A9D774" w:themeColor="accent3" w:themeTint="FE" w:fill="A9D774" w:themeFill="accent3" w:themeFillTint="FE"/>
      </w:tcPr>
    </w:tblStylePr>
    <w:tblStylePr w:type="lastRow">
      <w:rPr>
        <w:b/>
        <w:color w:val="404040"/>
      </w:rPr>
      <w:tblPr/>
      <w:trPr>
        <w:hidden/>
      </w:trPr>
      <w:tcPr>
        <w:tcBorders>
          <w:top w:val="single" w:sz="4" w:space="0" w:color="A9D77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DF6E2" w:themeColor="accent3" w:themeTint="34" w:fill="EDF6E2" w:themeFill="accent3" w:themeFillTint="34"/>
      </w:tcPr>
    </w:tblStylePr>
    <w:tblStylePr w:type="band1Horz">
      <w:rPr>
        <w:rFonts w:ascii="Arial" w:hAnsi="Arial"/>
        <w:color w:val="404040"/>
        <w:sz w:val="22"/>
      </w:rPr>
      <w:tblPr/>
      <w:trPr>
        <w:hidden/>
      </w:trPr>
      <w:tcPr>
        <w:shd w:val="clear" w:color="EDF6E2" w:themeColor="accent3" w:themeTint="34" w:fill="EDF6E2"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CDBDE0" w:themeColor="accent4" w:themeTint="90"/>
        <w:left w:val="single" w:sz="4" w:space="0" w:color="CDBDE0" w:themeColor="accent4" w:themeTint="90"/>
        <w:bottom w:val="single" w:sz="4" w:space="0" w:color="CDBDE0" w:themeColor="accent4" w:themeTint="90"/>
        <w:right w:val="single" w:sz="4" w:space="0" w:color="CDBDE0" w:themeColor="accent4" w:themeTint="90"/>
        <w:insideH w:val="single" w:sz="4" w:space="0" w:color="CDBDE0" w:themeColor="accent4" w:themeTint="90"/>
        <w:insideV w:val="single" w:sz="4" w:space="0" w:color="CDBDE0" w:themeColor="accent4"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tcBorders>
        <w:shd w:val="clear" w:color="C9B8DE" w:themeColor="accent4" w:themeTint="9A" w:fill="C9B8DE" w:themeFill="accent4" w:themeFillTint="9A"/>
      </w:tcPr>
    </w:tblStylePr>
    <w:tblStylePr w:type="lastRow">
      <w:rPr>
        <w:b/>
        <w:color w:val="404040"/>
      </w:rPr>
      <w:tblPr/>
      <w:trPr>
        <w:hidden/>
      </w:trPr>
      <w:tcPr>
        <w:tcBorders>
          <w:top w:val="single" w:sz="4" w:space="0" w:color="C9B8DE"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DE7F4" w:themeColor="accent4" w:themeTint="34" w:fill="EDE7F4" w:themeFill="accent4" w:themeFillTint="34"/>
      </w:tcPr>
    </w:tblStylePr>
    <w:tblStylePr w:type="band1Horz">
      <w:rPr>
        <w:rFonts w:ascii="Arial" w:hAnsi="Arial"/>
        <w:color w:val="404040"/>
        <w:sz w:val="22"/>
      </w:rPr>
      <w:tblPr/>
      <w:trPr>
        <w:hidden/>
      </w:trPr>
      <w:tcPr>
        <w:shd w:val="clear" w:color="EDE7F4" w:themeColor="accent4" w:themeTint="34" w:fill="EDE7F4"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B2E1EE" w:themeColor="accent5" w:themeTint="90"/>
        <w:left w:val="single" w:sz="4" w:space="0" w:color="B2E1EE" w:themeColor="accent5" w:themeTint="90"/>
        <w:bottom w:val="single" w:sz="4" w:space="0" w:color="B2E1EE" w:themeColor="accent5" w:themeTint="90"/>
        <w:right w:val="single" w:sz="4" w:space="0" w:color="B2E1EE" w:themeColor="accent5" w:themeTint="90"/>
        <w:insideH w:val="single" w:sz="4" w:space="0" w:color="B2E1EE" w:themeColor="accent5" w:themeTint="90"/>
        <w:insideV w:val="single" w:sz="4" w:space="0" w:color="B2E1EE" w:themeColor="accent5"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78CBE1" w:themeColor="accent5"/>
          <w:left w:val="single" w:sz="4" w:space="0" w:color="78CBE1" w:themeColor="accent5"/>
          <w:bottom w:val="single" w:sz="4" w:space="0" w:color="78CBE1" w:themeColor="accent5"/>
          <w:right w:val="single" w:sz="4" w:space="0" w:color="78CBE1" w:themeColor="accent5"/>
        </w:tcBorders>
        <w:shd w:val="clear" w:color="78CBE1" w:themeColor="accent5" w:fill="78CBE1" w:themeFill="accent5"/>
      </w:tcPr>
    </w:tblStylePr>
    <w:tblStylePr w:type="lastRow">
      <w:rPr>
        <w:b/>
        <w:color w:val="404040"/>
      </w:rPr>
      <w:tblPr/>
      <w:trPr>
        <w:hidden/>
      </w:trPr>
      <w:tcPr>
        <w:tcBorders>
          <w:top w:val="single" w:sz="4" w:space="0" w:color="78CBE1"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3F4F9" w:themeColor="accent5" w:themeTint="34" w:fill="E3F4F9" w:themeFill="accent5" w:themeFillTint="34"/>
      </w:tcPr>
    </w:tblStylePr>
    <w:tblStylePr w:type="band1Horz">
      <w:rPr>
        <w:rFonts w:ascii="Arial" w:hAnsi="Arial"/>
        <w:color w:val="404040"/>
        <w:sz w:val="22"/>
      </w:rPr>
      <w:tblPr/>
      <w:trPr>
        <w:hidden/>
      </w:trPr>
      <w:tcPr>
        <w:shd w:val="clear" w:color="E3F4F9" w:themeColor="accent5" w:themeTint="34" w:fill="E3F4F9"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DDABE" w:themeColor="accent6" w:themeTint="90"/>
        <w:left w:val="single" w:sz="4" w:space="0" w:color="FDDABE" w:themeColor="accent6" w:themeTint="90"/>
        <w:bottom w:val="single" w:sz="4" w:space="0" w:color="FDDABE" w:themeColor="accent6" w:themeTint="90"/>
        <w:right w:val="single" w:sz="4" w:space="0" w:color="FDDABE" w:themeColor="accent6" w:themeTint="90"/>
        <w:insideH w:val="single" w:sz="4" w:space="0" w:color="FDDABE" w:themeColor="accent6" w:themeTint="90"/>
        <w:insideV w:val="single" w:sz="4" w:space="0" w:color="FDDABE" w:themeColor="accent6"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FCBF8C" w:themeColor="accent6"/>
          <w:left w:val="single" w:sz="4" w:space="0" w:color="FCBF8C" w:themeColor="accent6"/>
          <w:bottom w:val="single" w:sz="4" w:space="0" w:color="FCBF8C" w:themeColor="accent6"/>
          <w:right w:val="single" w:sz="4" w:space="0" w:color="FCBF8C" w:themeColor="accent6"/>
        </w:tcBorders>
        <w:shd w:val="clear" w:color="FCBF8C" w:themeColor="accent6" w:fill="FCBF8C" w:themeFill="accent6"/>
      </w:tcPr>
    </w:tblStylePr>
    <w:tblStylePr w:type="lastRow">
      <w:rPr>
        <w:b/>
        <w:color w:val="404040"/>
      </w:rPr>
      <w:tblPr/>
      <w:trPr>
        <w:hidden/>
      </w:trPr>
      <w:tcPr>
        <w:tcBorders>
          <w:top w:val="single" w:sz="4" w:space="0" w:color="FCBF8C"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EF1E7" w:themeColor="accent6" w:themeTint="34" w:fill="FEF1E7" w:themeFill="accent6" w:themeFillTint="34"/>
      </w:tcPr>
    </w:tblStylePr>
    <w:tblStylePr w:type="band1Horz">
      <w:rPr>
        <w:rFonts w:ascii="Arial" w:hAnsi="Arial"/>
        <w:color w:val="404040"/>
        <w:sz w:val="22"/>
      </w:rPr>
      <w:tblPr/>
      <w:trPr>
        <w:hidden/>
      </w:trPr>
      <w:tcPr>
        <w:shd w:val="clear" w:color="FEF1E7" w:themeColor="accent6" w:themeTint="34" w:fill="FEF1E7"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000000" w:themeColor="text1" w:fill="000000" w:themeFill="text1"/>
      </w:tcPr>
    </w:tblStylePr>
    <w:tblStylePr w:type="lastRow">
      <w:rPr>
        <w:rFonts w:ascii="Arial" w:hAnsi="Arial"/>
        <w:b/>
        <w:color w:val="FFFFFF"/>
        <w:sz w:val="22"/>
      </w:rPr>
      <w:tblPr/>
      <w:trPr>
        <w:hidden/>
      </w:tr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rPr>
        <w:hidden/>
      </w:trPr>
      <w:tcPr>
        <w:shd w:val="clear" w:color="000000" w:themeColor="text1" w:fill="000000" w:themeFill="text1"/>
      </w:tcPr>
    </w:tblStylePr>
    <w:tblStylePr w:type="lastCol">
      <w:rPr>
        <w:rFonts w:ascii="Arial" w:hAnsi="Arial"/>
        <w:b/>
        <w:color w:val="FFFFFF"/>
        <w:sz w:val="22"/>
      </w:rPr>
      <w:tblPr/>
      <w:trPr>
        <w:hidden/>
      </w:trPr>
      <w:tcPr>
        <w:shd w:val="clear" w:color="000000" w:themeColor="text1" w:fill="000000" w:themeFill="text1"/>
      </w:tcPr>
    </w:tblStylePr>
    <w:tblStylePr w:type="band1Vert">
      <w:tblPr/>
      <w:trPr>
        <w:hidden/>
      </w:trPr>
      <w:tcPr>
        <w:shd w:val="clear" w:color="8A8A8A" w:themeColor="text1" w:themeTint="75" w:fill="8A8A8A" w:themeFill="text1" w:themeFillTint="75"/>
      </w:tcPr>
    </w:tblStylePr>
    <w:tblStylePr w:type="band1Horz">
      <w:tblPr/>
      <w:trPr>
        <w:hidden/>
      </w:tr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4EDF8" w:themeColor="accent1" w:themeTint="34" w:fill="E4EDF8" w:themeFill="accent1" w:themeFillTint="34"/>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7EAADF" w:themeColor="accent1" w:fill="7EAADF" w:themeFill="accent1"/>
      </w:tcPr>
    </w:tblStylePr>
    <w:tblStylePr w:type="lastRow">
      <w:rPr>
        <w:rFonts w:ascii="Arial" w:hAnsi="Arial"/>
        <w:b/>
        <w:color w:val="FFFFFF"/>
        <w:sz w:val="22"/>
      </w:rPr>
      <w:tblPr/>
      <w:trPr>
        <w:hidden/>
      </w:trPr>
      <w:tcPr>
        <w:tcBorders>
          <w:top w:val="single" w:sz="4" w:space="0" w:color="FFFFFF" w:themeColor="light1"/>
        </w:tcBorders>
        <w:shd w:val="clear" w:color="7EAADF" w:themeColor="accent1" w:fill="7EAADF" w:themeFill="accent1"/>
      </w:tcPr>
    </w:tblStylePr>
    <w:tblStylePr w:type="firstCol">
      <w:rPr>
        <w:rFonts w:ascii="Arial" w:hAnsi="Arial"/>
        <w:b/>
        <w:color w:val="FFFFFF"/>
        <w:sz w:val="22"/>
      </w:rPr>
      <w:tblPr/>
      <w:trPr>
        <w:hidden/>
      </w:trPr>
      <w:tcPr>
        <w:shd w:val="clear" w:color="7EAADF" w:themeColor="accent1" w:fill="7EAADF" w:themeFill="accent1"/>
      </w:tcPr>
    </w:tblStylePr>
    <w:tblStylePr w:type="lastCol">
      <w:rPr>
        <w:rFonts w:ascii="Arial" w:hAnsi="Arial"/>
        <w:b/>
        <w:color w:val="FFFFFF"/>
        <w:sz w:val="22"/>
      </w:rPr>
      <w:tblPr/>
      <w:trPr>
        <w:hidden/>
      </w:trPr>
      <w:tcPr>
        <w:shd w:val="clear" w:color="7EAADF" w:themeColor="accent1" w:fill="7EAADF" w:themeFill="accent1"/>
      </w:tcPr>
    </w:tblStylePr>
    <w:tblStylePr w:type="band1Vert">
      <w:tblPr/>
      <w:trPr>
        <w:hidden/>
      </w:trPr>
      <w:tcPr>
        <w:shd w:val="clear" w:color="C3D7F0" w:themeColor="accent1" w:themeTint="75" w:fill="C3D7F0" w:themeFill="accent1" w:themeFillTint="75"/>
      </w:tcPr>
    </w:tblStylePr>
    <w:tblStylePr w:type="band1Horz">
      <w:tblPr/>
      <w:trPr>
        <w:hidden/>
      </w:trPr>
      <w:tcPr>
        <w:shd w:val="clear" w:color="C3D7F0" w:themeColor="accent1" w:themeTint="75" w:fill="C3D7F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2E2" w:themeColor="accent2" w:themeTint="32" w:fill="FBE2E2" w:themeFill="accent2" w:themeFillTint="32"/>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EA726F" w:themeColor="accent2" w:fill="EA726F" w:themeFill="accent2"/>
      </w:tcPr>
    </w:tblStylePr>
    <w:tblStylePr w:type="lastRow">
      <w:rPr>
        <w:rFonts w:ascii="Arial" w:hAnsi="Arial"/>
        <w:b/>
        <w:color w:val="FFFFFF"/>
        <w:sz w:val="22"/>
      </w:rPr>
      <w:tblPr/>
      <w:trPr>
        <w:hidden/>
      </w:trPr>
      <w:tcPr>
        <w:tcBorders>
          <w:top w:val="single" w:sz="4" w:space="0" w:color="FFFFFF" w:themeColor="light1"/>
        </w:tcBorders>
        <w:shd w:val="clear" w:color="EA726F" w:themeColor="accent2" w:fill="EA726F" w:themeFill="accent2"/>
      </w:tcPr>
    </w:tblStylePr>
    <w:tblStylePr w:type="firstCol">
      <w:rPr>
        <w:rFonts w:ascii="Arial" w:hAnsi="Arial"/>
        <w:b/>
        <w:color w:val="FFFFFF"/>
        <w:sz w:val="22"/>
      </w:rPr>
      <w:tblPr/>
      <w:trPr>
        <w:hidden/>
      </w:trPr>
      <w:tcPr>
        <w:shd w:val="clear" w:color="EA726F" w:themeColor="accent2" w:fill="EA726F" w:themeFill="accent2"/>
      </w:tcPr>
    </w:tblStylePr>
    <w:tblStylePr w:type="lastCol">
      <w:rPr>
        <w:rFonts w:ascii="Arial" w:hAnsi="Arial"/>
        <w:b/>
        <w:color w:val="FFFFFF"/>
        <w:sz w:val="22"/>
      </w:rPr>
      <w:tblPr/>
      <w:trPr>
        <w:hidden/>
      </w:trPr>
      <w:tcPr>
        <w:shd w:val="clear" w:color="EA726F" w:themeColor="accent2" w:fill="EA726F" w:themeFill="accent2"/>
      </w:tcPr>
    </w:tblStylePr>
    <w:tblStylePr w:type="band1Vert">
      <w:tblPr/>
      <w:trPr>
        <w:hidden/>
      </w:trPr>
      <w:tcPr>
        <w:shd w:val="clear" w:color="F5BEBC" w:themeColor="accent2" w:themeTint="75" w:fill="F5BEBC" w:themeFill="accent2" w:themeFillTint="75"/>
      </w:tcPr>
    </w:tblStylePr>
    <w:tblStylePr w:type="band1Horz">
      <w:tblPr/>
      <w:trPr>
        <w:hidden/>
      </w:trPr>
      <w:tcPr>
        <w:shd w:val="clear" w:color="F5BEBC" w:themeColor="accent2" w:themeTint="75" w:fill="F5BEBC"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DF6E2" w:themeColor="accent3" w:themeTint="34" w:fill="EDF6E2" w:themeFill="accent3" w:themeFillTint="34"/>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A9D774" w:themeColor="accent3" w:fill="A9D774" w:themeFill="accent3"/>
      </w:tcPr>
    </w:tblStylePr>
    <w:tblStylePr w:type="lastRow">
      <w:rPr>
        <w:rFonts w:ascii="Arial" w:hAnsi="Arial"/>
        <w:b/>
        <w:color w:val="FFFFFF"/>
        <w:sz w:val="22"/>
      </w:rPr>
      <w:tblPr/>
      <w:trPr>
        <w:hidden/>
      </w:trPr>
      <w:tcPr>
        <w:tcBorders>
          <w:top w:val="single" w:sz="4" w:space="0" w:color="FFFFFF" w:themeColor="light1"/>
        </w:tcBorders>
        <w:shd w:val="clear" w:color="A9D774" w:themeColor="accent3" w:fill="A9D774" w:themeFill="accent3"/>
      </w:tcPr>
    </w:tblStylePr>
    <w:tblStylePr w:type="firstCol">
      <w:rPr>
        <w:rFonts w:ascii="Arial" w:hAnsi="Arial"/>
        <w:b/>
        <w:color w:val="FFFFFF"/>
        <w:sz w:val="22"/>
      </w:rPr>
      <w:tblPr/>
      <w:trPr>
        <w:hidden/>
      </w:trPr>
      <w:tcPr>
        <w:shd w:val="clear" w:color="A9D774" w:themeColor="accent3" w:fill="A9D774" w:themeFill="accent3"/>
      </w:tcPr>
    </w:tblStylePr>
    <w:tblStylePr w:type="lastCol">
      <w:rPr>
        <w:rFonts w:ascii="Arial" w:hAnsi="Arial"/>
        <w:b/>
        <w:color w:val="FFFFFF"/>
        <w:sz w:val="22"/>
      </w:rPr>
      <w:tblPr/>
      <w:trPr>
        <w:hidden/>
      </w:trPr>
      <w:tcPr>
        <w:shd w:val="clear" w:color="A9D774" w:themeColor="accent3" w:fill="A9D774" w:themeFill="accent3"/>
      </w:tcPr>
    </w:tblStylePr>
    <w:tblStylePr w:type="band1Vert">
      <w:tblPr/>
      <w:trPr>
        <w:hidden/>
      </w:trPr>
      <w:tcPr>
        <w:shd w:val="clear" w:color="D7ECBF" w:themeColor="accent3" w:themeTint="75" w:fill="D7ECBF" w:themeFill="accent3" w:themeFillTint="75"/>
      </w:tcPr>
    </w:tblStylePr>
    <w:tblStylePr w:type="band1Horz">
      <w:tblPr/>
      <w:trPr>
        <w:hidden/>
      </w:trPr>
      <w:tcPr>
        <w:shd w:val="clear" w:color="D7ECBF" w:themeColor="accent3" w:themeTint="75" w:fill="D7ECBF"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DE7F4" w:themeColor="accent4" w:themeTint="34" w:fill="EDE7F4" w:themeFill="accent4" w:themeFillTint="34"/>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A78BC9" w:themeColor="accent4" w:fill="A78BC9" w:themeFill="accent4"/>
      </w:tcPr>
    </w:tblStylePr>
    <w:tblStylePr w:type="lastRow">
      <w:rPr>
        <w:rFonts w:ascii="Arial" w:hAnsi="Arial"/>
        <w:b/>
        <w:color w:val="FFFFFF"/>
        <w:sz w:val="22"/>
      </w:rPr>
      <w:tblPr/>
      <w:trPr>
        <w:hidden/>
      </w:trPr>
      <w:tcPr>
        <w:tcBorders>
          <w:top w:val="single" w:sz="4" w:space="0" w:color="FFFFFF" w:themeColor="light1"/>
        </w:tcBorders>
        <w:shd w:val="clear" w:color="A78BC9" w:themeColor="accent4" w:fill="A78BC9" w:themeFill="accent4"/>
      </w:tcPr>
    </w:tblStylePr>
    <w:tblStylePr w:type="firstCol">
      <w:rPr>
        <w:rFonts w:ascii="Arial" w:hAnsi="Arial"/>
        <w:b/>
        <w:color w:val="FFFFFF"/>
        <w:sz w:val="22"/>
      </w:rPr>
      <w:tblPr/>
      <w:trPr>
        <w:hidden/>
      </w:trPr>
      <w:tcPr>
        <w:shd w:val="clear" w:color="A78BC9" w:themeColor="accent4" w:fill="A78BC9" w:themeFill="accent4"/>
      </w:tcPr>
    </w:tblStylePr>
    <w:tblStylePr w:type="lastCol">
      <w:rPr>
        <w:rFonts w:ascii="Arial" w:hAnsi="Arial"/>
        <w:b/>
        <w:color w:val="FFFFFF"/>
        <w:sz w:val="22"/>
      </w:rPr>
      <w:tblPr/>
      <w:trPr>
        <w:hidden/>
      </w:trPr>
      <w:tcPr>
        <w:shd w:val="clear" w:color="A78BC9" w:themeColor="accent4" w:fill="A78BC9" w:themeFill="accent4"/>
      </w:tcPr>
    </w:tblStylePr>
    <w:tblStylePr w:type="band1Vert">
      <w:tblPr/>
      <w:trPr>
        <w:hidden/>
      </w:trPr>
      <w:tcPr>
        <w:shd w:val="clear" w:color="D6C9E6" w:themeColor="accent4" w:themeTint="75" w:fill="D6C9E6" w:themeFill="accent4" w:themeFillTint="75"/>
      </w:tcPr>
    </w:tblStylePr>
    <w:tblStylePr w:type="band1Horz">
      <w:tblPr/>
      <w:trPr>
        <w:hidden/>
      </w:trPr>
      <w:tcPr>
        <w:shd w:val="clear" w:color="D6C9E6" w:themeColor="accent4" w:themeTint="75" w:fill="D6C9E6"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3F4F9" w:themeColor="accent5" w:themeTint="34" w:fill="E3F4F9" w:themeFill="accent5" w:themeFillTint="34"/>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78CBE1" w:themeColor="accent5" w:fill="78CBE1" w:themeFill="accent5"/>
      </w:tcPr>
    </w:tblStylePr>
    <w:tblStylePr w:type="lastRow">
      <w:rPr>
        <w:rFonts w:ascii="Arial" w:hAnsi="Arial"/>
        <w:b/>
        <w:color w:val="FFFFFF"/>
        <w:sz w:val="22"/>
      </w:rPr>
      <w:tblPr/>
      <w:trPr>
        <w:hidden/>
      </w:trPr>
      <w:tcPr>
        <w:tcBorders>
          <w:top w:val="single" w:sz="4" w:space="0" w:color="FFFFFF" w:themeColor="light1"/>
        </w:tcBorders>
        <w:shd w:val="clear" w:color="78CBE1" w:themeColor="accent5" w:fill="78CBE1" w:themeFill="accent5"/>
      </w:tcPr>
    </w:tblStylePr>
    <w:tblStylePr w:type="firstCol">
      <w:rPr>
        <w:rFonts w:ascii="Arial" w:hAnsi="Arial"/>
        <w:b/>
        <w:color w:val="FFFFFF"/>
        <w:sz w:val="22"/>
      </w:rPr>
      <w:tblPr/>
      <w:trPr>
        <w:hidden/>
      </w:trPr>
      <w:tcPr>
        <w:shd w:val="clear" w:color="78CBE1" w:themeColor="accent5" w:fill="78CBE1" w:themeFill="accent5"/>
      </w:tcPr>
    </w:tblStylePr>
    <w:tblStylePr w:type="lastCol">
      <w:rPr>
        <w:rFonts w:ascii="Arial" w:hAnsi="Arial"/>
        <w:b/>
        <w:color w:val="FFFFFF"/>
        <w:sz w:val="22"/>
      </w:rPr>
      <w:tblPr/>
      <w:trPr>
        <w:hidden/>
      </w:trPr>
      <w:tcPr>
        <w:shd w:val="clear" w:color="78CBE1" w:themeColor="accent5" w:fill="78CBE1" w:themeFill="accent5"/>
      </w:tcPr>
    </w:tblStylePr>
    <w:tblStylePr w:type="band1Vert">
      <w:tblPr/>
      <w:trPr>
        <w:hidden/>
      </w:trPr>
      <w:tcPr>
        <w:shd w:val="clear" w:color="C0E6F1" w:themeColor="accent5" w:themeTint="75" w:fill="C0E6F1" w:themeFill="accent5" w:themeFillTint="75"/>
      </w:tcPr>
    </w:tblStylePr>
    <w:tblStylePr w:type="band1Horz">
      <w:tblPr/>
      <w:trPr>
        <w:hidden/>
      </w:trPr>
      <w:tcPr>
        <w:shd w:val="clear" w:color="C0E6F1" w:themeColor="accent5" w:themeTint="75" w:fill="C0E6F1"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EF1E7" w:themeColor="accent6" w:themeTint="34" w:fill="FEF1E7" w:themeFill="accent6" w:themeFillTint="34"/>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FCBF8C" w:themeColor="accent6" w:fill="FCBF8C" w:themeFill="accent6"/>
      </w:tcPr>
    </w:tblStylePr>
    <w:tblStylePr w:type="lastRow">
      <w:rPr>
        <w:rFonts w:ascii="Arial" w:hAnsi="Arial"/>
        <w:b/>
        <w:color w:val="FFFFFF"/>
        <w:sz w:val="22"/>
      </w:rPr>
      <w:tblPr/>
      <w:trPr>
        <w:hidden/>
      </w:trPr>
      <w:tcPr>
        <w:tcBorders>
          <w:top w:val="single" w:sz="4" w:space="0" w:color="FFFFFF" w:themeColor="light1"/>
        </w:tcBorders>
        <w:shd w:val="clear" w:color="FCBF8C" w:themeColor="accent6" w:fill="FCBF8C" w:themeFill="accent6"/>
      </w:tcPr>
    </w:tblStylePr>
    <w:tblStylePr w:type="firstCol">
      <w:rPr>
        <w:rFonts w:ascii="Arial" w:hAnsi="Arial"/>
        <w:b/>
        <w:color w:val="FFFFFF"/>
        <w:sz w:val="22"/>
      </w:rPr>
      <w:tblPr/>
      <w:trPr>
        <w:hidden/>
      </w:trPr>
      <w:tcPr>
        <w:shd w:val="clear" w:color="FCBF8C" w:themeColor="accent6" w:fill="FCBF8C" w:themeFill="accent6"/>
      </w:tcPr>
    </w:tblStylePr>
    <w:tblStylePr w:type="lastCol">
      <w:rPr>
        <w:rFonts w:ascii="Arial" w:hAnsi="Arial"/>
        <w:b/>
        <w:color w:val="FFFFFF"/>
        <w:sz w:val="22"/>
      </w:rPr>
      <w:tblPr/>
      <w:trPr>
        <w:hidden/>
      </w:trPr>
      <w:tcPr>
        <w:shd w:val="clear" w:color="FCBF8C" w:themeColor="accent6" w:fill="FCBF8C" w:themeFill="accent6"/>
      </w:tcPr>
    </w:tblStylePr>
    <w:tblStylePr w:type="band1Vert">
      <w:tblPr/>
      <w:trPr>
        <w:hidden/>
      </w:trPr>
      <w:tcPr>
        <w:shd w:val="clear" w:color="FDE1CA" w:themeColor="accent6" w:themeTint="75" w:fill="FDE1CA" w:themeFill="accent6" w:themeFillTint="75"/>
      </w:tcPr>
    </w:tblStylePr>
    <w:tblStylePr w:type="band1Horz">
      <w:tblPr/>
      <w:trPr>
        <w:hidden/>
      </w:trPr>
      <w:tcPr>
        <w:shd w:val="clear" w:color="FDE1CA" w:themeColor="accent6" w:themeTint="75" w:fill="FDE1C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rPr>
      <w:hidden/>
    </w:trPr>
    <w:tblStylePr w:type="firstRow">
      <w:rPr>
        <w:b/>
        <w:color w:val="7F7F7F" w:themeColor="text1" w:themeTint="80" w:themeShade="95"/>
      </w:rPr>
      <w:tblPr/>
      <w:trPr>
        <w:hidden/>
      </w:tr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rPr>
        <w:hidden/>
      </w:tr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rPr>
        <w:hidden/>
      </w:tr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BED4EF" w:themeColor="accent1" w:themeTint="80"/>
        <w:left w:val="single" w:sz="4" w:space="0" w:color="BED4EF" w:themeColor="accent1" w:themeTint="80"/>
        <w:bottom w:val="single" w:sz="4" w:space="0" w:color="BED4EF" w:themeColor="accent1" w:themeTint="80"/>
        <w:right w:val="single" w:sz="4" w:space="0" w:color="BED4EF" w:themeColor="accent1" w:themeTint="80"/>
        <w:insideH w:val="single" w:sz="4" w:space="0" w:color="BED4EF" w:themeColor="accent1" w:themeTint="80"/>
        <w:insideV w:val="single" w:sz="4" w:space="0" w:color="BED4EF" w:themeColor="accent1" w:themeTint="80"/>
      </w:tblBorders>
      <w:tblCellMar>
        <w:top w:w="0" w:type="dxa"/>
        <w:left w:w="108" w:type="dxa"/>
        <w:bottom w:w="0" w:type="dxa"/>
        <w:right w:w="108" w:type="dxa"/>
      </w:tblCellMar>
    </w:tblPr>
    <w:trPr>
      <w:hidden/>
    </w:trPr>
    <w:tblStylePr w:type="firstRow">
      <w:rPr>
        <w:b/>
        <w:color w:val="BED4EF" w:themeColor="accent1" w:themeTint="80" w:themeShade="95"/>
      </w:rPr>
      <w:tblPr/>
      <w:trPr>
        <w:hidden/>
      </w:trPr>
      <w:tcPr>
        <w:tcBorders>
          <w:bottom w:val="single" w:sz="12" w:space="0" w:color="BED4EF" w:themeColor="accent1" w:themeTint="80"/>
        </w:tcBorders>
      </w:tcPr>
    </w:tblStylePr>
    <w:tblStylePr w:type="lastRow">
      <w:rPr>
        <w:b/>
        <w:color w:val="BED4EF" w:themeColor="accent1" w:themeTint="80" w:themeShade="95"/>
      </w:rPr>
    </w:tblStylePr>
    <w:tblStylePr w:type="firstCol">
      <w:rPr>
        <w:b/>
        <w:color w:val="BED4EF" w:themeColor="accent1" w:themeTint="80" w:themeShade="95"/>
      </w:rPr>
    </w:tblStylePr>
    <w:tblStylePr w:type="lastCol">
      <w:rPr>
        <w:b/>
        <w:color w:val="BED4EF" w:themeColor="accent1" w:themeTint="80" w:themeShade="95"/>
      </w:rPr>
    </w:tblStylePr>
    <w:tblStylePr w:type="band1Vert">
      <w:tblPr/>
      <w:trPr>
        <w:hidden/>
      </w:trPr>
      <w:tcPr>
        <w:shd w:val="clear" w:color="E4EDF8" w:themeColor="accent1" w:themeTint="34" w:fill="E4EDF8" w:themeFill="accent1" w:themeFillTint="34"/>
      </w:tcPr>
    </w:tblStylePr>
    <w:tblStylePr w:type="band1Horz">
      <w:rPr>
        <w:rFonts w:ascii="Arial" w:hAnsi="Arial"/>
        <w:color w:val="BED4EF" w:themeColor="accent1" w:themeTint="80" w:themeShade="95"/>
        <w:sz w:val="22"/>
      </w:rPr>
      <w:tblPr/>
      <w:trPr>
        <w:hidden/>
      </w:trPr>
      <w:tcPr>
        <w:shd w:val="clear" w:color="E4EDF8" w:themeColor="accent1" w:themeTint="34" w:fill="E4EDF8" w:themeFill="accent1" w:themeFillTint="34"/>
      </w:tcPr>
    </w:tblStylePr>
    <w:tblStylePr w:type="band2Horz">
      <w:rPr>
        <w:rFonts w:ascii="Arial" w:hAnsi="Arial"/>
        <w:color w:val="BED4EF"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insideH w:val="single" w:sz="4" w:space="0" w:color="F2ABA9" w:themeColor="accent2" w:themeTint="97"/>
        <w:insideV w:val="single" w:sz="4" w:space="0" w:color="F2ABA9" w:themeColor="accent2" w:themeTint="97"/>
      </w:tblBorders>
      <w:tblCellMar>
        <w:top w:w="0" w:type="dxa"/>
        <w:left w:w="108" w:type="dxa"/>
        <w:bottom w:w="0" w:type="dxa"/>
        <w:right w:w="108" w:type="dxa"/>
      </w:tblCellMar>
    </w:tblPr>
    <w:trPr>
      <w:hidden/>
    </w:trPr>
    <w:tblStylePr w:type="firstRow">
      <w:rPr>
        <w:b/>
        <w:color w:val="F2ABA9" w:themeColor="accent2" w:themeTint="97" w:themeShade="95"/>
      </w:rPr>
      <w:tblPr/>
      <w:trPr>
        <w:hidden/>
      </w:trPr>
      <w:tcPr>
        <w:tcBorders>
          <w:bottom w:val="single" w:sz="12" w:space="0" w:color="F2ABA9" w:themeColor="accent2" w:themeTint="97"/>
        </w:tcBorders>
      </w:tcPr>
    </w:tblStylePr>
    <w:tblStylePr w:type="lastRow">
      <w:rPr>
        <w:b/>
        <w:color w:val="F2ABA9" w:themeColor="accent2" w:themeTint="97" w:themeShade="95"/>
      </w:rPr>
    </w:tblStylePr>
    <w:tblStylePr w:type="firstCol">
      <w:rPr>
        <w:b/>
        <w:color w:val="F2ABA9" w:themeColor="accent2" w:themeTint="97" w:themeShade="95"/>
      </w:rPr>
    </w:tblStylePr>
    <w:tblStylePr w:type="lastCol">
      <w:rPr>
        <w:b/>
        <w:color w:val="F2ABA9" w:themeColor="accent2" w:themeTint="97" w:themeShade="95"/>
      </w:rPr>
    </w:tblStylePr>
    <w:tblStylePr w:type="band1Vert">
      <w:tblPr/>
      <w:trPr>
        <w:hidden/>
      </w:trPr>
      <w:tcPr>
        <w:shd w:val="clear" w:color="FBE2E2" w:themeColor="accent2" w:themeTint="32" w:fill="FBE2E2" w:themeFill="accent2" w:themeFillTint="32"/>
      </w:tcPr>
    </w:tblStylePr>
    <w:tblStylePr w:type="band1Horz">
      <w:rPr>
        <w:rFonts w:ascii="Arial" w:hAnsi="Arial"/>
        <w:color w:val="F2ABA9" w:themeColor="accent2" w:themeTint="97" w:themeShade="95"/>
        <w:sz w:val="22"/>
      </w:rPr>
      <w:tblPr/>
      <w:trPr>
        <w:hidden/>
      </w:trPr>
      <w:tcPr>
        <w:shd w:val="clear" w:color="FBE2E2" w:themeColor="accent2" w:themeTint="32" w:fill="FBE2E2" w:themeFill="accent2" w:themeFillTint="32"/>
      </w:tcPr>
    </w:tblStylePr>
    <w:tblStylePr w:type="band2Horz">
      <w:rPr>
        <w:rFonts w:ascii="Arial" w:hAnsi="Arial"/>
        <w:color w:val="F2ABA9"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A9D774" w:themeColor="accent3" w:themeTint="FE"/>
        <w:left w:val="single" w:sz="4" w:space="0" w:color="A9D774" w:themeColor="accent3" w:themeTint="FE"/>
        <w:bottom w:val="single" w:sz="4" w:space="0" w:color="A9D774" w:themeColor="accent3" w:themeTint="FE"/>
        <w:right w:val="single" w:sz="4" w:space="0" w:color="A9D774" w:themeColor="accent3" w:themeTint="FE"/>
        <w:insideH w:val="single" w:sz="4" w:space="0" w:color="A9D774" w:themeColor="accent3" w:themeTint="FE"/>
        <w:insideV w:val="single" w:sz="4" w:space="0" w:color="A9D774" w:themeColor="accent3" w:themeTint="FE"/>
      </w:tblBorders>
      <w:tblCellMar>
        <w:top w:w="0" w:type="dxa"/>
        <w:left w:w="108" w:type="dxa"/>
        <w:bottom w:w="0" w:type="dxa"/>
        <w:right w:w="108" w:type="dxa"/>
      </w:tblCellMar>
    </w:tblPr>
    <w:trPr>
      <w:hidden/>
    </w:trPr>
    <w:tblStylePr w:type="firstRow">
      <w:rPr>
        <w:b/>
        <w:color w:val="A9D774" w:themeColor="accent3" w:themeTint="FE" w:themeShade="95"/>
      </w:rPr>
      <w:tblPr/>
      <w:trPr>
        <w:hidden/>
      </w:trPr>
      <w:tcPr>
        <w:tcBorders>
          <w:bottom w:val="single" w:sz="12" w:space="0" w:color="A9D774" w:themeColor="accent3" w:themeTint="FE"/>
        </w:tcBorders>
      </w:tcPr>
    </w:tblStylePr>
    <w:tblStylePr w:type="lastRow">
      <w:rPr>
        <w:b/>
        <w:color w:val="A9D774" w:themeColor="accent3" w:themeTint="FE" w:themeShade="95"/>
      </w:rPr>
    </w:tblStylePr>
    <w:tblStylePr w:type="firstCol">
      <w:rPr>
        <w:b/>
        <w:color w:val="A9D774" w:themeColor="accent3" w:themeTint="FE" w:themeShade="95"/>
      </w:rPr>
    </w:tblStylePr>
    <w:tblStylePr w:type="lastCol">
      <w:rPr>
        <w:b/>
        <w:color w:val="A9D774" w:themeColor="accent3" w:themeTint="FE" w:themeShade="95"/>
      </w:rPr>
    </w:tblStylePr>
    <w:tblStylePr w:type="band1Vert">
      <w:tblPr/>
      <w:trPr>
        <w:hidden/>
      </w:trPr>
      <w:tcPr>
        <w:shd w:val="clear" w:color="EDF6E2" w:themeColor="accent3" w:themeTint="34" w:fill="EDF6E2" w:themeFill="accent3" w:themeFillTint="34"/>
      </w:tcPr>
    </w:tblStylePr>
    <w:tblStylePr w:type="band1Horz">
      <w:rPr>
        <w:rFonts w:ascii="Arial" w:hAnsi="Arial"/>
        <w:color w:val="A9D774" w:themeColor="accent3" w:themeTint="FE" w:themeShade="95"/>
        <w:sz w:val="22"/>
      </w:rPr>
      <w:tblPr/>
      <w:trPr>
        <w:hidden/>
      </w:trPr>
      <w:tcPr>
        <w:shd w:val="clear" w:color="EDF6E2" w:themeColor="accent3" w:themeTint="34" w:fill="EDF6E2" w:themeFill="accent3" w:themeFillTint="34"/>
      </w:tcPr>
    </w:tblStylePr>
    <w:tblStylePr w:type="band2Horz">
      <w:rPr>
        <w:rFonts w:ascii="Arial" w:hAnsi="Arial"/>
        <w:color w:val="A9D774"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insideH w:val="single" w:sz="4" w:space="0" w:color="C9B8DE" w:themeColor="accent4" w:themeTint="9A"/>
        <w:insideV w:val="single" w:sz="4" w:space="0" w:color="C9B8DE" w:themeColor="accent4" w:themeTint="9A"/>
      </w:tblBorders>
      <w:tblCellMar>
        <w:top w:w="0" w:type="dxa"/>
        <w:left w:w="108" w:type="dxa"/>
        <w:bottom w:w="0" w:type="dxa"/>
        <w:right w:w="108" w:type="dxa"/>
      </w:tblCellMar>
    </w:tblPr>
    <w:trPr>
      <w:hidden/>
    </w:trPr>
    <w:tblStylePr w:type="firstRow">
      <w:rPr>
        <w:b/>
        <w:color w:val="C9B8DE" w:themeColor="accent4" w:themeTint="9A" w:themeShade="95"/>
      </w:rPr>
      <w:tblPr/>
      <w:trPr>
        <w:hidden/>
      </w:trPr>
      <w:tcPr>
        <w:tcBorders>
          <w:bottom w:val="single" w:sz="12" w:space="0" w:color="C9B8DE" w:themeColor="accent4" w:themeTint="9A"/>
        </w:tcBorders>
      </w:tcPr>
    </w:tblStylePr>
    <w:tblStylePr w:type="lastRow">
      <w:rPr>
        <w:b/>
        <w:color w:val="C9B8DE" w:themeColor="accent4" w:themeTint="9A" w:themeShade="95"/>
      </w:rPr>
    </w:tblStylePr>
    <w:tblStylePr w:type="firstCol">
      <w:rPr>
        <w:b/>
        <w:color w:val="C9B8DE" w:themeColor="accent4" w:themeTint="9A" w:themeShade="95"/>
      </w:rPr>
    </w:tblStylePr>
    <w:tblStylePr w:type="lastCol">
      <w:rPr>
        <w:b/>
        <w:color w:val="C9B8DE" w:themeColor="accent4" w:themeTint="9A" w:themeShade="95"/>
      </w:rPr>
    </w:tblStylePr>
    <w:tblStylePr w:type="band1Vert">
      <w:tblPr/>
      <w:trPr>
        <w:hidden/>
      </w:trPr>
      <w:tcPr>
        <w:shd w:val="clear" w:color="EDE7F4" w:themeColor="accent4" w:themeTint="34" w:fill="EDE7F4" w:themeFill="accent4" w:themeFillTint="34"/>
      </w:tcPr>
    </w:tblStylePr>
    <w:tblStylePr w:type="band1Horz">
      <w:rPr>
        <w:rFonts w:ascii="Arial" w:hAnsi="Arial"/>
        <w:color w:val="C9B8DE" w:themeColor="accent4" w:themeTint="9A" w:themeShade="95"/>
        <w:sz w:val="22"/>
      </w:rPr>
      <w:tblPr/>
      <w:trPr>
        <w:hidden/>
      </w:trPr>
      <w:tcPr>
        <w:shd w:val="clear" w:color="EDE7F4" w:themeColor="accent4" w:themeTint="34" w:fill="EDE7F4" w:themeFill="accent4" w:themeFillTint="34"/>
      </w:tcPr>
    </w:tblStylePr>
    <w:tblStylePr w:type="band2Horz">
      <w:rPr>
        <w:rFonts w:ascii="Arial" w:hAnsi="Arial"/>
        <w:color w:val="C9B8DE"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78CBE1" w:themeColor="accent5"/>
        <w:left w:val="single" w:sz="4" w:space="0" w:color="78CBE1" w:themeColor="accent5"/>
        <w:bottom w:val="single" w:sz="4" w:space="0" w:color="78CBE1" w:themeColor="accent5"/>
        <w:right w:val="single" w:sz="4" w:space="0" w:color="78CBE1" w:themeColor="accent5"/>
        <w:insideH w:val="single" w:sz="4" w:space="0" w:color="78CBE1" w:themeColor="accent5"/>
        <w:insideV w:val="single" w:sz="4" w:space="0" w:color="78CBE1" w:themeColor="accent5"/>
      </w:tblBorders>
      <w:tblCellMar>
        <w:top w:w="0" w:type="dxa"/>
        <w:left w:w="108" w:type="dxa"/>
        <w:bottom w:w="0" w:type="dxa"/>
        <w:right w:w="108" w:type="dxa"/>
      </w:tblCellMar>
    </w:tblPr>
    <w:trPr>
      <w:hidden/>
    </w:trPr>
    <w:tblStylePr w:type="firstRow">
      <w:rPr>
        <w:b/>
        <w:color w:val="2489A4" w:themeColor="accent5" w:themeShade="95"/>
      </w:rPr>
      <w:tblPr/>
      <w:trPr>
        <w:hidden/>
      </w:trPr>
      <w:tcPr>
        <w:tcBorders>
          <w:bottom w:val="single" w:sz="12" w:space="0" w:color="78CBE1" w:themeColor="accent5"/>
        </w:tcBorders>
      </w:tcPr>
    </w:tblStylePr>
    <w:tblStylePr w:type="lastRow">
      <w:rPr>
        <w:b/>
        <w:color w:val="2489A4" w:themeColor="accent5" w:themeShade="95"/>
      </w:rPr>
    </w:tblStylePr>
    <w:tblStylePr w:type="firstCol">
      <w:rPr>
        <w:b/>
        <w:color w:val="2489A4" w:themeColor="accent5" w:themeShade="95"/>
      </w:rPr>
    </w:tblStylePr>
    <w:tblStylePr w:type="lastCol">
      <w:rPr>
        <w:b/>
        <w:color w:val="2489A4" w:themeColor="accent5" w:themeShade="95"/>
      </w:rPr>
    </w:tblStylePr>
    <w:tblStylePr w:type="band1Vert">
      <w:tblPr/>
      <w:trPr>
        <w:hidden/>
      </w:trPr>
      <w:tcPr>
        <w:shd w:val="clear" w:color="E3F4F9" w:themeColor="accent5" w:themeTint="34" w:fill="E3F4F9" w:themeFill="accent5" w:themeFillTint="34"/>
      </w:tcPr>
    </w:tblStylePr>
    <w:tblStylePr w:type="band1Horz">
      <w:rPr>
        <w:rFonts w:ascii="Arial" w:hAnsi="Arial"/>
        <w:color w:val="2489A4" w:themeColor="accent5" w:themeShade="95"/>
        <w:sz w:val="22"/>
      </w:rPr>
      <w:tblPr/>
      <w:trPr>
        <w:hidden/>
      </w:trPr>
      <w:tcPr>
        <w:shd w:val="clear" w:color="E3F4F9" w:themeColor="accent5" w:themeTint="34" w:fill="E3F4F9" w:themeFill="accent5" w:themeFillTint="34"/>
      </w:tcPr>
    </w:tblStylePr>
    <w:tblStylePr w:type="band2Horz">
      <w:rPr>
        <w:rFonts w:ascii="Arial" w:hAnsi="Arial"/>
        <w:color w:val="2489A4"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CBF8C" w:themeColor="accent6"/>
        <w:left w:val="single" w:sz="4" w:space="0" w:color="FCBF8C" w:themeColor="accent6"/>
        <w:bottom w:val="single" w:sz="4" w:space="0" w:color="FCBF8C" w:themeColor="accent6"/>
        <w:right w:val="single" w:sz="4" w:space="0" w:color="FCBF8C" w:themeColor="accent6"/>
        <w:insideH w:val="single" w:sz="4" w:space="0" w:color="FCBF8C" w:themeColor="accent6"/>
        <w:insideV w:val="single" w:sz="4" w:space="0" w:color="FCBF8C" w:themeColor="accent6"/>
      </w:tblBorders>
      <w:tblCellMar>
        <w:top w:w="0" w:type="dxa"/>
        <w:left w:w="108" w:type="dxa"/>
        <w:bottom w:w="0" w:type="dxa"/>
        <w:right w:w="108" w:type="dxa"/>
      </w:tblCellMar>
    </w:tblPr>
    <w:trPr>
      <w:hidden/>
    </w:trPr>
    <w:tblStylePr w:type="firstRow">
      <w:rPr>
        <w:b/>
        <w:color w:val="2489A4" w:themeColor="accent5" w:themeShade="95"/>
      </w:rPr>
      <w:tblPr/>
      <w:trPr>
        <w:hidden/>
      </w:trPr>
      <w:tcPr>
        <w:tcBorders>
          <w:bottom w:val="single" w:sz="12" w:space="0" w:color="FCBF8C" w:themeColor="accent6"/>
        </w:tcBorders>
      </w:tcPr>
    </w:tblStylePr>
    <w:tblStylePr w:type="lastRow">
      <w:rPr>
        <w:b/>
        <w:color w:val="2489A4" w:themeColor="accent5" w:themeShade="95"/>
      </w:rPr>
    </w:tblStylePr>
    <w:tblStylePr w:type="firstCol">
      <w:rPr>
        <w:b/>
        <w:color w:val="2489A4" w:themeColor="accent5" w:themeShade="95"/>
      </w:rPr>
    </w:tblStylePr>
    <w:tblStylePr w:type="lastCol">
      <w:rPr>
        <w:b/>
        <w:color w:val="2489A4" w:themeColor="accent5" w:themeShade="95"/>
      </w:rPr>
    </w:tblStylePr>
    <w:tblStylePr w:type="band1Vert">
      <w:tblPr/>
      <w:trPr>
        <w:hidden/>
      </w:trPr>
      <w:tcPr>
        <w:shd w:val="clear" w:color="FEF1E7" w:themeColor="accent6" w:themeTint="34" w:fill="FEF1E7" w:themeFill="accent6" w:themeFillTint="34"/>
      </w:tcPr>
    </w:tblStylePr>
    <w:tblStylePr w:type="band1Horz">
      <w:rPr>
        <w:rFonts w:ascii="Arial" w:hAnsi="Arial"/>
        <w:color w:val="2489A4" w:themeColor="accent5" w:themeShade="95"/>
        <w:sz w:val="22"/>
      </w:rPr>
      <w:tblPr/>
      <w:trPr>
        <w:hidden/>
      </w:trPr>
      <w:tcPr>
        <w:shd w:val="clear" w:color="FEF1E7" w:themeColor="accent6" w:themeTint="34" w:fill="FEF1E7" w:themeFill="accent6" w:themeFillTint="34"/>
      </w:tcPr>
    </w:tblStylePr>
    <w:tblStylePr w:type="band2Horz">
      <w:rPr>
        <w:rFonts w:ascii="Arial" w:hAnsi="Arial"/>
        <w:color w:val="2489A4"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rPr>
      <w:hidden/>
    </w:trPr>
    <w:tblStylePr w:type="firstRow">
      <w:rPr>
        <w:rFonts w:ascii="Arial" w:hAnsi="Arial"/>
        <w:b/>
        <w:color w:val="7F7F7F" w:themeColor="text1" w:themeTint="80" w:themeShade="95"/>
        <w:sz w:val="22"/>
      </w:rPr>
      <w:tblPr/>
      <w:trPr>
        <w:hidden/>
      </w:tr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rPr>
        <w:hidden/>
      </w:tr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rPr>
        <w:hidden/>
      </w:tr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rPr>
        <w:hidden/>
      </w:tr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rPr>
        <w:hidden/>
      </w:tr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rPr>
        <w:hidden/>
      </w:tr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BED4EF" w:themeColor="accent1" w:themeTint="80"/>
        <w:right w:val="single" w:sz="4" w:space="0" w:color="BED4EF" w:themeColor="accent1" w:themeTint="80"/>
        <w:insideH w:val="single" w:sz="4" w:space="0" w:color="BED4EF" w:themeColor="accent1" w:themeTint="80"/>
        <w:insideV w:val="single" w:sz="4" w:space="0" w:color="BED4EF" w:themeColor="accent1" w:themeTint="80"/>
      </w:tblBorders>
      <w:tblCellMar>
        <w:top w:w="0" w:type="dxa"/>
        <w:left w:w="108" w:type="dxa"/>
        <w:bottom w:w="0" w:type="dxa"/>
        <w:right w:w="108" w:type="dxa"/>
      </w:tblCellMar>
    </w:tblPr>
    <w:trPr>
      <w:hidden/>
    </w:trPr>
    <w:tblStylePr w:type="firstRow">
      <w:rPr>
        <w:rFonts w:ascii="Arial" w:hAnsi="Arial"/>
        <w:b/>
        <w:color w:val="BED4EF" w:themeColor="accent1" w:themeTint="80" w:themeShade="95"/>
        <w:sz w:val="22"/>
      </w:rPr>
      <w:tblPr/>
      <w:trPr>
        <w:hidden/>
      </w:trPr>
      <w:tcPr>
        <w:tcBorders>
          <w:top w:val="none" w:sz="4" w:space="0" w:color="000000"/>
          <w:left w:val="none" w:sz="4" w:space="0" w:color="000000"/>
          <w:bottom w:val="single" w:sz="4" w:space="0" w:color="BED4EF" w:themeColor="accent1" w:themeTint="80"/>
          <w:right w:val="none" w:sz="4" w:space="0" w:color="000000"/>
        </w:tcBorders>
        <w:shd w:val="clear" w:color="FFFFFF" w:themeColor="light1" w:fill="FFFFFF" w:themeFill="light1"/>
      </w:tcPr>
    </w:tblStylePr>
    <w:tblStylePr w:type="lastRow">
      <w:rPr>
        <w:rFonts w:ascii="Arial" w:hAnsi="Arial"/>
        <w:b/>
        <w:color w:val="BED4EF" w:themeColor="accent1" w:themeTint="80" w:themeShade="95"/>
        <w:sz w:val="22"/>
      </w:rPr>
      <w:tblPr/>
      <w:trPr>
        <w:hidden/>
      </w:trPr>
      <w:tcPr>
        <w:tcBorders>
          <w:top w:val="single" w:sz="4" w:space="0" w:color="BED4E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ED4EF" w:themeColor="accent1" w:themeTint="80" w:themeShade="95"/>
        <w:sz w:val="22"/>
      </w:rPr>
      <w:tblPr/>
      <w:trPr>
        <w:hidden/>
      </w:trPr>
      <w:tcPr>
        <w:tcBorders>
          <w:top w:val="none" w:sz="4" w:space="0" w:color="000000"/>
          <w:left w:val="none" w:sz="4" w:space="0" w:color="000000"/>
          <w:bottom w:val="none" w:sz="4" w:space="0" w:color="000000"/>
          <w:right w:val="single" w:sz="4" w:space="0" w:color="BED4EF" w:themeColor="accent1" w:themeTint="80"/>
        </w:tcBorders>
        <w:shd w:val="clear" w:color="FFFFFF" w:fill="auto"/>
      </w:tcPr>
    </w:tblStylePr>
    <w:tblStylePr w:type="lastCol">
      <w:rPr>
        <w:rFonts w:ascii="Arial" w:hAnsi="Arial"/>
        <w:i/>
        <w:color w:val="BED4EF" w:themeColor="accent1" w:themeTint="80" w:themeShade="95"/>
        <w:sz w:val="22"/>
      </w:rPr>
      <w:tblPr/>
      <w:trPr>
        <w:hidden/>
      </w:trPr>
      <w:tcPr>
        <w:tcBorders>
          <w:top w:val="none" w:sz="4" w:space="0" w:color="000000"/>
          <w:left w:val="single" w:sz="4" w:space="0" w:color="BED4EF" w:themeColor="accent1" w:themeTint="80"/>
          <w:bottom w:val="none" w:sz="4" w:space="0" w:color="000000"/>
          <w:right w:val="none" w:sz="4" w:space="0" w:color="000000"/>
        </w:tcBorders>
        <w:shd w:val="clear" w:color="FFFFFF" w:fill="auto"/>
      </w:tcPr>
    </w:tblStylePr>
    <w:tblStylePr w:type="band1Vert">
      <w:tblPr/>
      <w:trPr>
        <w:hidden/>
      </w:trPr>
      <w:tcPr>
        <w:shd w:val="clear" w:color="E4EDF8" w:themeColor="accent1" w:themeTint="34" w:fill="E4EDF8" w:themeFill="accent1" w:themeFillTint="34"/>
      </w:tcPr>
    </w:tblStylePr>
    <w:tblStylePr w:type="band1Horz">
      <w:rPr>
        <w:rFonts w:ascii="Arial" w:hAnsi="Arial"/>
        <w:color w:val="BED4EF" w:themeColor="accent1" w:themeTint="80" w:themeShade="95"/>
        <w:sz w:val="22"/>
      </w:rPr>
      <w:tblPr/>
      <w:trPr>
        <w:hidden/>
      </w:trPr>
      <w:tcPr>
        <w:shd w:val="clear" w:color="E4EDF8" w:themeColor="accent1" w:themeTint="34" w:fill="E4EDF8" w:themeFill="accent1" w:themeFillTint="34"/>
      </w:tcPr>
    </w:tblStylePr>
    <w:tblStylePr w:type="band2Horz">
      <w:rPr>
        <w:rFonts w:ascii="Arial" w:hAnsi="Arial"/>
        <w:color w:val="BED4EF"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F2ABA9" w:themeColor="accent2" w:themeTint="97"/>
        <w:right w:val="single" w:sz="4" w:space="0" w:color="F2ABA9" w:themeColor="accent2" w:themeTint="97"/>
        <w:insideH w:val="single" w:sz="4" w:space="0" w:color="F2ABA9" w:themeColor="accent2" w:themeTint="97"/>
        <w:insideV w:val="single" w:sz="4" w:space="0" w:color="F2ABA9" w:themeColor="accent2" w:themeTint="97"/>
      </w:tblBorders>
      <w:tblCellMar>
        <w:top w:w="0" w:type="dxa"/>
        <w:left w:w="108" w:type="dxa"/>
        <w:bottom w:w="0" w:type="dxa"/>
        <w:right w:w="108" w:type="dxa"/>
      </w:tblCellMar>
    </w:tblPr>
    <w:trPr>
      <w:hidden/>
    </w:trPr>
    <w:tblStylePr w:type="firstRow">
      <w:rPr>
        <w:rFonts w:ascii="Arial" w:hAnsi="Arial"/>
        <w:b/>
        <w:color w:val="F2ABA9" w:themeColor="accent2" w:themeTint="97" w:themeShade="95"/>
        <w:sz w:val="22"/>
      </w:rPr>
      <w:tblPr/>
      <w:trPr>
        <w:hidden/>
      </w:trPr>
      <w:tcPr>
        <w:tcBorders>
          <w:top w:val="none" w:sz="4" w:space="0" w:color="000000"/>
          <w:left w:val="none" w:sz="4" w:space="0" w:color="000000"/>
          <w:bottom w:val="single" w:sz="4" w:space="0" w:color="F2ABA9" w:themeColor="accent2" w:themeTint="97"/>
          <w:right w:val="none" w:sz="4" w:space="0" w:color="000000"/>
        </w:tcBorders>
        <w:shd w:val="clear" w:color="FFFFFF" w:themeColor="light1" w:fill="FFFFFF" w:themeFill="light1"/>
      </w:tcPr>
    </w:tblStylePr>
    <w:tblStylePr w:type="lastRow">
      <w:rPr>
        <w:rFonts w:ascii="Arial" w:hAnsi="Arial"/>
        <w:b/>
        <w:color w:val="F2ABA9" w:themeColor="accent2" w:themeTint="97" w:themeShade="95"/>
        <w:sz w:val="22"/>
      </w:rPr>
      <w:tblPr/>
      <w:trPr>
        <w:hidden/>
      </w:trPr>
      <w:tcPr>
        <w:tcBorders>
          <w:top w:val="single" w:sz="4" w:space="0" w:color="F2ABA9"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BA9" w:themeColor="accent2" w:themeTint="97" w:themeShade="95"/>
        <w:sz w:val="22"/>
      </w:rPr>
      <w:tblPr/>
      <w:trPr>
        <w:hidden/>
      </w:trPr>
      <w:tcPr>
        <w:tcBorders>
          <w:top w:val="none" w:sz="4" w:space="0" w:color="000000"/>
          <w:left w:val="none" w:sz="4" w:space="0" w:color="000000"/>
          <w:bottom w:val="none" w:sz="4" w:space="0" w:color="000000"/>
          <w:right w:val="single" w:sz="4" w:space="0" w:color="F2ABA9" w:themeColor="accent2" w:themeTint="97"/>
        </w:tcBorders>
        <w:shd w:val="clear" w:color="FFFFFF" w:fill="auto"/>
      </w:tcPr>
    </w:tblStylePr>
    <w:tblStylePr w:type="lastCol">
      <w:rPr>
        <w:rFonts w:ascii="Arial" w:hAnsi="Arial"/>
        <w:i/>
        <w:color w:val="F2ABA9" w:themeColor="accent2" w:themeTint="97" w:themeShade="95"/>
        <w:sz w:val="22"/>
      </w:rPr>
      <w:tblPr/>
      <w:trPr>
        <w:hidden/>
      </w:trPr>
      <w:tcPr>
        <w:tcBorders>
          <w:top w:val="none" w:sz="4" w:space="0" w:color="000000"/>
          <w:left w:val="single" w:sz="4" w:space="0" w:color="F2ABA9" w:themeColor="accent2" w:themeTint="97"/>
          <w:bottom w:val="none" w:sz="4" w:space="0" w:color="000000"/>
          <w:right w:val="none" w:sz="4" w:space="0" w:color="000000"/>
        </w:tcBorders>
        <w:shd w:val="clear" w:color="FFFFFF" w:fill="auto"/>
      </w:tcPr>
    </w:tblStylePr>
    <w:tblStylePr w:type="band1Vert">
      <w:tblPr/>
      <w:trPr>
        <w:hidden/>
      </w:trPr>
      <w:tcPr>
        <w:shd w:val="clear" w:color="FBE2E2" w:themeColor="accent2" w:themeTint="32" w:fill="FBE2E2" w:themeFill="accent2" w:themeFillTint="32"/>
      </w:tcPr>
    </w:tblStylePr>
    <w:tblStylePr w:type="band1Horz">
      <w:rPr>
        <w:rFonts w:ascii="Arial" w:hAnsi="Arial"/>
        <w:color w:val="F2ABA9" w:themeColor="accent2" w:themeTint="97" w:themeShade="95"/>
        <w:sz w:val="22"/>
      </w:rPr>
      <w:tblPr/>
      <w:trPr>
        <w:hidden/>
      </w:trPr>
      <w:tcPr>
        <w:shd w:val="clear" w:color="FBE2E2" w:themeColor="accent2" w:themeTint="32" w:fill="FBE2E2" w:themeFill="accent2" w:themeFillTint="32"/>
      </w:tcPr>
    </w:tblStylePr>
    <w:tblStylePr w:type="band2Horz">
      <w:rPr>
        <w:rFonts w:ascii="Arial" w:hAnsi="Arial"/>
        <w:color w:val="F2ABA9"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A9D774" w:themeColor="accent3" w:themeTint="FE"/>
        <w:right w:val="single" w:sz="4" w:space="0" w:color="A9D774" w:themeColor="accent3" w:themeTint="FE"/>
        <w:insideH w:val="single" w:sz="4" w:space="0" w:color="A9D774" w:themeColor="accent3" w:themeTint="FE"/>
        <w:insideV w:val="single" w:sz="4" w:space="0" w:color="A9D774" w:themeColor="accent3" w:themeTint="FE"/>
      </w:tblBorders>
      <w:tblCellMar>
        <w:top w:w="0" w:type="dxa"/>
        <w:left w:w="108" w:type="dxa"/>
        <w:bottom w:w="0" w:type="dxa"/>
        <w:right w:w="108" w:type="dxa"/>
      </w:tblCellMar>
    </w:tblPr>
    <w:trPr>
      <w:hidden/>
    </w:trPr>
    <w:tblStylePr w:type="firstRow">
      <w:rPr>
        <w:rFonts w:ascii="Arial" w:hAnsi="Arial"/>
        <w:b/>
        <w:color w:val="A9D774" w:themeColor="accent3" w:themeTint="FE" w:themeShade="95"/>
        <w:sz w:val="22"/>
      </w:rPr>
      <w:tblPr/>
      <w:trPr>
        <w:hidden/>
      </w:trPr>
      <w:tcPr>
        <w:tcBorders>
          <w:top w:val="none" w:sz="4" w:space="0" w:color="000000"/>
          <w:left w:val="none" w:sz="4" w:space="0" w:color="000000"/>
          <w:bottom w:val="single" w:sz="4" w:space="0" w:color="A9D774" w:themeColor="accent3" w:themeTint="FE"/>
          <w:right w:val="none" w:sz="4" w:space="0" w:color="000000"/>
        </w:tcBorders>
        <w:shd w:val="clear" w:color="FFFFFF" w:themeColor="light1" w:fill="FFFFFF" w:themeFill="light1"/>
      </w:tcPr>
    </w:tblStylePr>
    <w:tblStylePr w:type="lastRow">
      <w:rPr>
        <w:rFonts w:ascii="Arial" w:hAnsi="Arial"/>
        <w:b/>
        <w:color w:val="A9D774" w:themeColor="accent3" w:themeTint="FE" w:themeShade="95"/>
        <w:sz w:val="22"/>
      </w:rPr>
      <w:tblPr/>
      <w:trPr>
        <w:hidden/>
      </w:trPr>
      <w:tcPr>
        <w:tcBorders>
          <w:top w:val="single" w:sz="4" w:space="0" w:color="A9D77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774" w:themeColor="accent3" w:themeTint="FE" w:themeShade="95"/>
        <w:sz w:val="22"/>
      </w:rPr>
      <w:tblPr/>
      <w:trPr>
        <w:hidden/>
      </w:trPr>
      <w:tcPr>
        <w:tcBorders>
          <w:top w:val="none" w:sz="4" w:space="0" w:color="000000"/>
          <w:left w:val="none" w:sz="4" w:space="0" w:color="000000"/>
          <w:bottom w:val="none" w:sz="4" w:space="0" w:color="000000"/>
          <w:right w:val="single" w:sz="4" w:space="0" w:color="A9D774" w:themeColor="accent3" w:themeTint="FE"/>
        </w:tcBorders>
        <w:shd w:val="clear" w:color="FFFFFF" w:fill="auto"/>
      </w:tcPr>
    </w:tblStylePr>
    <w:tblStylePr w:type="lastCol">
      <w:rPr>
        <w:rFonts w:ascii="Arial" w:hAnsi="Arial"/>
        <w:i/>
        <w:color w:val="A9D774" w:themeColor="accent3" w:themeTint="FE" w:themeShade="95"/>
        <w:sz w:val="22"/>
      </w:rPr>
      <w:tblPr/>
      <w:trPr>
        <w:hidden/>
      </w:trPr>
      <w:tcPr>
        <w:tcBorders>
          <w:top w:val="none" w:sz="4" w:space="0" w:color="000000"/>
          <w:left w:val="single" w:sz="4" w:space="0" w:color="A9D774" w:themeColor="accent3" w:themeTint="FE"/>
          <w:bottom w:val="none" w:sz="4" w:space="0" w:color="000000"/>
          <w:right w:val="none" w:sz="4" w:space="0" w:color="000000"/>
        </w:tcBorders>
        <w:shd w:val="clear" w:color="FFFFFF" w:fill="auto"/>
      </w:tcPr>
    </w:tblStylePr>
    <w:tblStylePr w:type="band1Vert">
      <w:tblPr/>
      <w:trPr>
        <w:hidden/>
      </w:trPr>
      <w:tcPr>
        <w:shd w:val="clear" w:color="EDF6E2" w:themeColor="accent3" w:themeTint="34" w:fill="EDF6E2" w:themeFill="accent3" w:themeFillTint="34"/>
      </w:tcPr>
    </w:tblStylePr>
    <w:tblStylePr w:type="band1Horz">
      <w:rPr>
        <w:rFonts w:ascii="Arial" w:hAnsi="Arial"/>
        <w:color w:val="A9D774" w:themeColor="accent3" w:themeTint="FE" w:themeShade="95"/>
        <w:sz w:val="22"/>
      </w:rPr>
      <w:tblPr/>
      <w:trPr>
        <w:hidden/>
      </w:trPr>
      <w:tcPr>
        <w:shd w:val="clear" w:color="EDF6E2" w:themeColor="accent3" w:themeTint="34" w:fill="EDF6E2" w:themeFill="accent3" w:themeFillTint="34"/>
      </w:tcPr>
    </w:tblStylePr>
    <w:tblStylePr w:type="band2Horz">
      <w:rPr>
        <w:rFonts w:ascii="Arial" w:hAnsi="Arial"/>
        <w:color w:val="A9D774"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C9B8DE" w:themeColor="accent4" w:themeTint="9A"/>
        <w:right w:val="single" w:sz="4" w:space="0" w:color="C9B8DE" w:themeColor="accent4" w:themeTint="9A"/>
        <w:insideH w:val="single" w:sz="4" w:space="0" w:color="C9B8DE" w:themeColor="accent4" w:themeTint="9A"/>
        <w:insideV w:val="single" w:sz="4" w:space="0" w:color="C9B8DE" w:themeColor="accent4" w:themeTint="9A"/>
      </w:tblBorders>
      <w:tblCellMar>
        <w:top w:w="0" w:type="dxa"/>
        <w:left w:w="108" w:type="dxa"/>
        <w:bottom w:w="0" w:type="dxa"/>
        <w:right w:w="108" w:type="dxa"/>
      </w:tblCellMar>
    </w:tblPr>
    <w:trPr>
      <w:hidden/>
    </w:trPr>
    <w:tblStylePr w:type="firstRow">
      <w:rPr>
        <w:rFonts w:ascii="Arial" w:hAnsi="Arial"/>
        <w:b/>
        <w:color w:val="C9B8DE" w:themeColor="accent4" w:themeTint="9A" w:themeShade="95"/>
        <w:sz w:val="22"/>
      </w:rPr>
      <w:tblPr/>
      <w:trPr>
        <w:hidden/>
      </w:trPr>
      <w:tcPr>
        <w:tcBorders>
          <w:top w:val="none" w:sz="4" w:space="0" w:color="000000"/>
          <w:left w:val="none" w:sz="4" w:space="0" w:color="000000"/>
          <w:bottom w:val="single" w:sz="4" w:space="0" w:color="C9B8DE" w:themeColor="accent4" w:themeTint="9A"/>
          <w:right w:val="none" w:sz="4" w:space="0" w:color="000000"/>
        </w:tcBorders>
        <w:shd w:val="clear" w:color="FFFFFF" w:themeColor="light1" w:fill="FFFFFF" w:themeFill="light1"/>
      </w:tcPr>
    </w:tblStylePr>
    <w:tblStylePr w:type="lastRow">
      <w:rPr>
        <w:rFonts w:ascii="Arial" w:hAnsi="Arial"/>
        <w:b/>
        <w:color w:val="C9B8DE" w:themeColor="accent4" w:themeTint="9A" w:themeShade="95"/>
        <w:sz w:val="22"/>
      </w:rPr>
      <w:tblPr/>
      <w:trPr>
        <w:hidden/>
      </w:trPr>
      <w:tcPr>
        <w:tcBorders>
          <w:top w:val="single" w:sz="4" w:space="0" w:color="C9B8DE"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B8DE" w:themeColor="accent4" w:themeTint="9A" w:themeShade="95"/>
        <w:sz w:val="22"/>
      </w:rPr>
      <w:tblPr/>
      <w:trPr>
        <w:hidden/>
      </w:trPr>
      <w:tcPr>
        <w:tcBorders>
          <w:top w:val="none" w:sz="4" w:space="0" w:color="000000"/>
          <w:left w:val="none" w:sz="4" w:space="0" w:color="000000"/>
          <w:bottom w:val="none" w:sz="4" w:space="0" w:color="000000"/>
          <w:right w:val="single" w:sz="4" w:space="0" w:color="C9B8DE" w:themeColor="accent4" w:themeTint="9A"/>
        </w:tcBorders>
        <w:shd w:val="clear" w:color="FFFFFF" w:fill="auto"/>
      </w:tcPr>
    </w:tblStylePr>
    <w:tblStylePr w:type="lastCol">
      <w:rPr>
        <w:rFonts w:ascii="Arial" w:hAnsi="Arial"/>
        <w:i/>
        <w:color w:val="C9B8DE" w:themeColor="accent4" w:themeTint="9A" w:themeShade="95"/>
        <w:sz w:val="22"/>
      </w:rPr>
      <w:tblPr/>
      <w:trPr>
        <w:hidden/>
      </w:trPr>
      <w:tcPr>
        <w:tcBorders>
          <w:top w:val="none" w:sz="4" w:space="0" w:color="000000"/>
          <w:left w:val="single" w:sz="4" w:space="0" w:color="C9B8DE" w:themeColor="accent4" w:themeTint="9A"/>
          <w:bottom w:val="none" w:sz="4" w:space="0" w:color="000000"/>
          <w:right w:val="none" w:sz="4" w:space="0" w:color="000000"/>
        </w:tcBorders>
        <w:shd w:val="clear" w:color="FFFFFF" w:fill="auto"/>
      </w:tcPr>
    </w:tblStylePr>
    <w:tblStylePr w:type="band1Vert">
      <w:tblPr/>
      <w:trPr>
        <w:hidden/>
      </w:trPr>
      <w:tcPr>
        <w:shd w:val="clear" w:color="EDE7F4" w:themeColor="accent4" w:themeTint="34" w:fill="EDE7F4" w:themeFill="accent4" w:themeFillTint="34"/>
      </w:tcPr>
    </w:tblStylePr>
    <w:tblStylePr w:type="band1Horz">
      <w:rPr>
        <w:rFonts w:ascii="Arial" w:hAnsi="Arial"/>
        <w:color w:val="C9B8DE" w:themeColor="accent4" w:themeTint="9A" w:themeShade="95"/>
        <w:sz w:val="22"/>
      </w:rPr>
      <w:tblPr/>
      <w:trPr>
        <w:hidden/>
      </w:trPr>
      <w:tcPr>
        <w:shd w:val="clear" w:color="EDE7F4" w:themeColor="accent4" w:themeTint="34" w:fill="EDE7F4" w:themeFill="accent4" w:themeFillTint="34"/>
      </w:tcPr>
    </w:tblStylePr>
    <w:tblStylePr w:type="band2Horz">
      <w:rPr>
        <w:rFonts w:ascii="Arial" w:hAnsi="Arial"/>
        <w:color w:val="C9B8DE"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B2E1EE" w:themeColor="accent5" w:themeTint="90"/>
        <w:right w:val="single" w:sz="4" w:space="0" w:color="B2E1EE" w:themeColor="accent5" w:themeTint="90"/>
        <w:insideH w:val="single" w:sz="4" w:space="0" w:color="B2E1EE" w:themeColor="accent5" w:themeTint="90"/>
        <w:insideV w:val="single" w:sz="4" w:space="0" w:color="B2E1EE" w:themeColor="accent5" w:themeTint="90"/>
      </w:tblBorders>
      <w:tblCellMar>
        <w:top w:w="0" w:type="dxa"/>
        <w:left w:w="108" w:type="dxa"/>
        <w:bottom w:w="0" w:type="dxa"/>
        <w:right w:w="108" w:type="dxa"/>
      </w:tblCellMar>
    </w:tblPr>
    <w:trPr>
      <w:hidden/>
    </w:trPr>
    <w:tblStylePr w:type="firstRow">
      <w:rPr>
        <w:rFonts w:ascii="Arial" w:hAnsi="Arial"/>
        <w:b/>
        <w:color w:val="2489A4" w:themeColor="accent5" w:themeShade="95"/>
        <w:sz w:val="22"/>
      </w:rPr>
      <w:tblPr/>
      <w:trPr>
        <w:hidden/>
      </w:trPr>
      <w:tcPr>
        <w:tcBorders>
          <w:top w:val="none" w:sz="4" w:space="0" w:color="000000"/>
          <w:left w:val="none" w:sz="4" w:space="0" w:color="000000"/>
          <w:bottom w:val="single" w:sz="4" w:space="0" w:color="B2E1EE" w:themeColor="accent5" w:themeTint="90"/>
          <w:right w:val="none" w:sz="4" w:space="0" w:color="000000"/>
        </w:tcBorders>
        <w:shd w:val="clear" w:color="FFFFFF" w:themeColor="light1" w:fill="FFFFFF" w:themeFill="light1"/>
      </w:tcPr>
    </w:tblStylePr>
    <w:tblStylePr w:type="lastRow">
      <w:rPr>
        <w:rFonts w:ascii="Arial" w:hAnsi="Arial"/>
        <w:b/>
        <w:color w:val="2489A4" w:themeColor="accent5" w:themeShade="95"/>
        <w:sz w:val="22"/>
      </w:rPr>
      <w:tblPr/>
      <w:trPr>
        <w:hidden/>
      </w:trPr>
      <w:tcPr>
        <w:tcBorders>
          <w:top w:val="single" w:sz="4" w:space="0" w:color="B2E1E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89A4" w:themeColor="accent5" w:themeShade="95"/>
        <w:sz w:val="22"/>
      </w:rPr>
      <w:tblPr/>
      <w:trPr>
        <w:hidden/>
      </w:trPr>
      <w:tcPr>
        <w:tcBorders>
          <w:top w:val="none" w:sz="4" w:space="0" w:color="000000"/>
          <w:left w:val="none" w:sz="4" w:space="0" w:color="000000"/>
          <w:bottom w:val="none" w:sz="4" w:space="0" w:color="000000"/>
          <w:right w:val="single" w:sz="4" w:space="0" w:color="B2E1EE" w:themeColor="accent5" w:themeTint="90"/>
        </w:tcBorders>
        <w:shd w:val="clear" w:color="FFFFFF" w:fill="auto"/>
      </w:tcPr>
    </w:tblStylePr>
    <w:tblStylePr w:type="lastCol">
      <w:rPr>
        <w:rFonts w:ascii="Arial" w:hAnsi="Arial"/>
        <w:i/>
        <w:color w:val="2489A4" w:themeColor="accent5" w:themeShade="95"/>
        <w:sz w:val="22"/>
      </w:rPr>
      <w:tblPr/>
      <w:trPr>
        <w:hidden/>
      </w:trPr>
      <w:tcPr>
        <w:tcBorders>
          <w:top w:val="none" w:sz="4" w:space="0" w:color="000000"/>
          <w:left w:val="single" w:sz="4" w:space="0" w:color="B2E1EE" w:themeColor="accent5" w:themeTint="90"/>
          <w:bottom w:val="none" w:sz="4" w:space="0" w:color="000000"/>
          <w:right w:val="none" w:sz="4" w:space="0" w:color="000000"/>
        </w:tcBorders>
        <w:shd w:val="clear" w:color="FFFFFF" w:fill="auto"/>
      </w:tcPr>
    </w:tblStylePr>
    <w:tblStylePr w:type="band1Vert">
      <w:tblPr/>
      <w:trPr>
        <w:hidden/>
      </w:trPr>
      <w:tcPr>
        <w:shd w:val="clear" w:color="E3F4F9" w:themeColor="accent5" w:themeTint="34" w:fill="E3F4F9" w:themeFill="accent5" w:themeFillTint="34"/>
      </w:tcPr>
    </w:tblStylePr>
    <w:tblStylePr w:type="band1Horz">
      <w:rPr>
        <w:rFonts w:ascii="Arial" w:hAnsi="Arial"/>
        <w:color w:val="2489A4" w:themeColor="accent5" w:themeShade="95"/>
        <w:sz w:val="22"/>
      </w:rPr>
      <w:tblPr/>
      <w:trPr>
        <w:hidden/>
      </w:trPr>
      <w:tcPr>
        <w:shd w:val="clear" w:color="E3F4F9" w:themeColor="accent5" w:themeTint="34" w:fill="E3F4F9" w:themeFill="accent5" w:themeFillTint="34"/>
      </w:tcPr>
    </w:tblStylePr>
    <w:tblStylePr w:type="band2Horz">
      <w:rPr>
        <w:rFonts w:ascii="Arial" w:hAnsi="Arial"/>
        <w:color w:val="2489A4"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DDABE" w:themeColor="accent6" w:themeTint="90"/>
        <w:right w:val="single" w:sz="4" w:space="0" w:color="FDDABE" w:themeColor="accent6" w:themeTint="90"/>
        <w:insideH w:val="single" w:sz="4" w:space="0" w:color="FDDABE" w:themeColor="accent6" w:themeTint="90"/>
        <w:insideV w:val="single" w:sz="4" w:space="0" w:color="FDDABE" w:themeColor="accent6" w:themeTint="90"/>
      </w:tblBorders>
      <w:tblCellMar>
        <w:top w:w="0" w:type="dxa"/>
        <w:left w:w="108" w:type="dxa"/>
        <w:bottom w:w="0" w:type="dxa"/>
        <w:right w:w="108" w:type="dxa"/>
      </w:tblCellMar>
    </w:tblPr>
    <w:trPr>
      <w:hidden/>
    </w:trPr>
    <w:tblStylePr w:type="firstRow">
      <w:rPr>
        <w:rFonts w:ascii="Arial" w:hAnsi="Arial"/>
        <w:b/>
        <w:color w:val="DF6806" w:themeColor="accent6" w:themeShade="95"/>
        <w:sz w:val="22"/>
      </w:rPr>
      <w:tblPr/>
      <w:trPr>
        <w:hidden/>
      </w:trPr>
      <w:tcPr>
        <w:tcBorders>
          <w:top w:val="none" w:sz="4" w:space="0" w:color="000000"/>
          <w:left w:val="none" w:sz="4" w:space="0" w:color="000000"/>
          <w:bottom w:val="single" w:sz="4" w:space="0" w:color="FDDABE" w:themeColor="accent6" w:themeTint="90"/>
          <w:right w:val="none" w:sz="4" w:space="0" w:color="000000"/>
        </w:tcBorders>
        <w:shd w:val="clear" w:color="FFFFFF" w:themeColor="light1" w:fill="FFFFFF" w:themeFill="light1"/>
      </w:tcPr>
    </w:tblStylePr>
    <w:tblStylePr w:type="lastRow">
      <w:rPr>
        <w:rFonts w:ascii="Arial" w:hAnsi="Arial"/>
        <w:b/>
        <w:color w:val="DF6806" w:themeColor="accent6" w:themeShade="95"/>
        <w:sz w:val="22"/>
      </w:rPr>
      <w:tblPr/>
      <w:trPr>
        <w:hidden/>
      </w:trPr>
      <w:tcPr>
        <w:tcBorders>
          <w:top w:val="single" w:sz="4" w:space="0" w:color="FDDABE"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F6806" w:themeColor="accent6" w:themeShade="95"/>
        <w:sz w:val="22"/>
      </w:rPr>
      <w:tblPr/>
      <w:trPr>
        <w:hidden/>
      </w:trPr>
      <w:tcPr>
        <w:tcBorders>
          <w:top w:val="none" w:sz="4" w:space="0" w:color="000000"/>
          <w:left w:val="none" w:sz="4" w:space="0" w:color="000000"/>
          <w:bottom w:val="none" w:sz="4" w:space="0" w:color="000000"/>
          <w:right w:val="single" w:sz="4" w:space="0" w:color="FDDABE" w:themeColor="accent6" w:themeTint="90"/>
        </w:tcBorders>
        <w:shd w:val="clear" w:color="FFFFFF" w:fill="auto"/>
      </w:tcPr>
    </w:tblStylePr>
    <w:tblStylePr w:type="lastCol">
      <w:rPr>
        <w:rFonts w:ascii="Arial" w:hAnsi="Arial"/>
        <w:i/>
        <w:color w:val="DF6806" w:themeColor="accent6" w:themeShade="95"/>
        <w:sz w:val="22"/>
      </w:rPr>
      <w:tblPr/>
      <w:trPr>
        <w:hidden/>
      </w:trPr>
      <w:tcPr>
        <w:tcBorders>
          <w:top w:val="none" w:sz="4" w:space="0" w:color="000000"/>
          <w:left w:val="single" w:sz="4" w:space="0" w:color="FDDABE" w:themeColor="accent6" w:themeTint="90"/>
          <w:bottom w:val="none" w:sz="4" w:space="0" w:color="000000"/>
          <w:right w:val="none" w:sz="4" w:space="0" w:color="000000"/>
        </w:tcBorders>
        <w:shd w:val="clear" w:color="FFFFFF" w:fill="auto"/>
      </w:tcPr>
    </w:tblStylePr>
    <w:tblStylePr w:type="band1Vert">
      <w:tblPr/>
      <w:trPr>
        <w:hidden/>
      </w:trPr>
      <w:tcPr>
        <w:shd w:val="clear" w:color="FEF1E7" w:themeColor="accent6" w:themeTint="34" w:fill="FEF1E7" w:themeFill="accent6" w:themeFillTint="34"/>
      </w:tcPr>
    </w:tblStylePr>
    <w:tblStylePr w:type="band1Horz">
      <w:rPr>
        <w:rFonts w:ascii="Arial" w:hAnsi="Arial"/>
        <w:color w:val="DF6806" w:themeColor="accent6" w:themeShade="95"/>
        <w:sz w:val="22"/>
      </w:rPr>
      <w:tblPr/>
      <w:trPr>
        <w:hidden/>
      </w:trPr>
      <w:tcPr>
        <w:shd w:val="clear" w:color="FEF1E7" w:themeColor="accent6" w:themeTint="34" w:fill="FEF1E7" w:themeFill="accent6" w:themeFillTint="34"/>
      </w:tcPr>
    </w:tblStylePr>
    <w:tblStylePr w:type="band2Horz">
      <w:rPr>
        <w:rFonts w:ascii="Arial" w:hAnsi="Arial"/>
        <w:color w:val="DF6806"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rPr>
        <w:hidden/>
      </w:tr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BFBFBF" w:themeColor="text1" w:themeTint="40" w:fill="BFBFBF" w:themeFill="text1" w:themeFillTint="40"/>
      </w:tcPr>
    </w:tblStylePr>
    <w:tblStylePr w:type="band1Horz">
      <w:tblPr/>
      <w:trPr>
        <w:hidden/>
      </w:tr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7EAADF" w:themeColor="accent1"/>
          <w:right w:val="none" w:sz="4" w:space="0" w:color="000000"/>
        </w:tcBorders>
      </w:tcPr>
    </w:tblStylePr>
    <w:tblStylePr w:type="lastRow">
      <w:rPr>
        <w:b/>
        <w:color w:val="404040"/>
      </w:rPr>
      <w:tblPr/>
      <w:trPr>
        <w:hidden/>
      </w:trPr>
      <w:tcPr>
        <w:tcBorders>
          <w:top w:val="single" w:sz="4" w:space="0" w:color="7EAADF"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DEE9F7" w:themeColor="accent1" w:themeTint="40" w:fill="DEE9F7" w:themeFill="accent1" w:themeFillTint="40"/>
      </w:tcPr>
    </w:tblStylePr>
    <w:tblStylePr w:type="band1Horz">
      <w:tblPr/>
      <w:trPr>
        <w:hidden/>
      </w:trPr>
      <w:tcPr>
        <w:shd w:val="clear" w:color="DEE9F7" w:themeColor="accent1" w:themeTint="40" w:fill="DEE9F7"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EA726F" w:themeColor="accent2"/>
          <w:right w:val="none" w:sz="4" w:space="0" w:color="000000"/>
        </w:tcBorders>
      </w:tcPr>
    </w:tblStylePr>
    <w:tblStylePr w:type="lastRow">
      <w:rPr>
        <w:b/>
        <w:color w:val="404040"/>
      </w:rPr>
      <w:tblPr/>
      <w:trPr>
        <w:hidden/>
      </w:trPr>
      <w:tcPr>
        <w:tcBorders>
          <w:top w:val="single" w:sz="4" w:space="0" w:color="EA726F"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F9DBDA" w:themeColor="accent2" w:themeTint="40" w:fill="F9DBDA" w:themeFill="accent2" w:themeFillTint="40"/>
      </w:tcPr>
    </w:tblStylePr>
    <w:tblStylePr w:type="band1Horz">
      <w:tblPr/>
      <w:trPr>
        <w:hidden/>
      </w:trPr>
      <w:tcPr>
        <w:shd w:val="clear" w:color="F9DBDA" w:themeColor="accent2" w:themeTint="40" w:fill="F9DBDA"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A9D774" w:themeColor="accent3"/>
          <w:right w:val="none" w:sz="4" w:space="0" w:color="000000"/>
        </w:tcBorders>
      </w:tcPr>
    </w:tblStylePr>
    <w:tblStylePr w:type="lastRow">
      <w:rPr>
        <w:b/>
        <w:color w:val="404040"/>
      </w:rPr>
      <w:tblPr/>
      <w:trPr>
        <w:hidden/>
      </w:trPr>
      <w:tcPr>
        <w:tcBorders>
          <w:top w:val="single" w:sz="4" w:space="0" w:color="A9D77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E9F5DC" w:themeColor="accent3" w:themeTint="40" w:fill="E9F5DC" w:themeFill="accent3" w:themeFillTint="40"/>
      </w:tcPr>
    </w:tblStylePr>
    <w:tblStylePr w:type="band1Horz">
      <w:tblPr/>
      <w:trPr>
        <w:hidden/>
      </w:trPr>
      <w:tcPr>
        <w:shd w:val="clear" w:color="E9F5DC" w:themeColor="accent3" w:themeTint="40" w:fill="E9F5DC"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A78BC9" w:themeColor="accent4"/>
          <w:right w:val="none" w:sz="4" w:space="0" w:color="000000"/>
        </w:tcBorders>
      </w:tcPr>
    </w:tblStylePr>
    <w:tblStylePr w:type="lastRow">
      <w:rPr>
        <w:b/>
        <w:color w:val="404040"/>
      </w:rPr>
      <w:tblPr/>
      <w:trPr>
        <w:hidden/>
      </w:trPr>
      <w:tcPr>
        <w:tcBorders>
          <w:top w:val="single" w:sz="4" w:space="0" w:color="A78BC9"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E8E1F1" w:themeColor="accent4" w:themeTint="40" w:fill="E8E1F1" w:themeFill="accent4" w:themeFillTint="40"/>
      </w:tcPr>
    </w:tblStylePr>
    <w:tblStylePr w:type="band1Horz">
      <w:tblPr/>
      <w:trPr>
        <w:hidden/>
      </w:trPr>
      <w:tcPr>
        <w:shd w:val="clear" w:color="E8E1F1" w:themeColor="accent4" w:themeTint="40" w:fill="E8E1F1"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78CBE1" w:themeColor="accent5"/>
          <w:right w:val="none" w:sz="4" w:space="0" w:color="000000"/>
        </w:tcBorders>
      </w:tcPr>
    </w:tblStylePr>
    <w:tblStylePr w:type="lastRow">
      <w:rPr>
        <w:b/>
        <w:color w:val="404040"/>
      </w:rPr>
      <w:tblPr/>
      <w:trPr>
        <w:hidden/>
      </w:trPr>
      <w:tcPr>
        <w:tcBorders>
          <w:top w:val="single" w:sz="4" w:space="0" w:color="78CBE1"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DCF1F7" w:themeColor="accent5" w:themeTint="40" w:fill="DCF1F7" w:themeFill="accent5" w:themeFillTint="40"/>
      </w:tcPr>
    </w:tblStylePr>
    <w:tblStylePr w:type="band1Horz">
      <w:tblPr/>
      <w:trPr>
        <w:hidden/>
      </w:trPr>
      <w:tcPr>
        <w:shd w:val="clear" w:color="DCF1F7" w:themeColor="accent5" w:themeTint="40" w:fill="DCF1F7"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FCBF8C" w:themeColor="accent6"/>
          <w:right w:val="none" w:sz="4" w:space="0" w:color="000000"/>
        </w:tcBorders>
      </w:tcPr>
    </w:tblStylePr>
    <w:tblStylePr w:type="lastRow">
      <w:rPr>
        <w:b/>
        <w:color w:val="404040"/>
      </w:rPr>
      <w:tblPr/>
      <w:trPr>
        <w:hidden/>
      </w:trPr>
      <w:tcPr>
        <w:tcBorders>
          <w:top w:val="single" w:sz="4" w:space="0" w:color="FCBF8C"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FEEEE2" w:themeColor="accent6" w:themeTint="40" w:fill="FEEEE2" w:themeFill="accent6" w:themeFillTint="40"/>
      </w:tcPr>
    </w:tblStylePr>
    <w:tblStylePr w:type="band1Horz">
      <w:tblPr/>
      <w:trPr>
        <w:hidden/>
      </w:trPr>
      <w:tcPr>
        <w:shd w:val="clear" w:color="FEEEE2" w:themeColor="accent6" w:themeTint="40" w:fill="FEEEE2"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rPr>
        <w:hidden/>
      </w:tr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BFBFBF" w:themeColor="text1" w:themeTint="40" w:fill="BFBFBF" w:themeFill="text1" w:themeFillTint="40"/>
      </w:tcPr>
    </w:tblStylePr>
    <w:tblStylePr w:type="band1Horz">
      <w:rPr>
        <w:rFonts w:ascii="Arial" w:hAnsi="Arial"/>
        <w:color w:val="404040"/>
        <w:sz w:val="22"/>
      </w:rPr>
      <w:tblPr/>
      <w:trPr>
        <w:hidden/>
      </w:tr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B6CEED" w:themeColor="accent1" w:themeTint="90"/>
        <w:bottom w:val="single" w:sz="4" w:space="0" w:color="B6CEED" w:themeColor="accent1" w:themeTint="90"/>
        <w:insideH w:val="single" w:sz="4" w:space="0" w:color="B6CEED" w:themeColor="accent1"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B6CEED" w:themeColor="accent1" w:themeTint="90"/>
          <w:left w:val="none" w:sz="4" w:space="0" w:color="000000"/>
          <w:bottom w:val="single" w:sz="4" w:space="0" w:color="B6CEED" w:themeColor="accent1" w:themeTint="90"/>
          <w:right w:val="none" w:sz="4" w:space="0" w:color="000000"/>
        </w:tcBorders>
      </w:tcPr>
    </w:tblStylePr>
    <w:tblStylePr w:type="lastRow">
      <w:rPr>
        <w:rFonts w:ascii="Arial" w:hAnsi="Arial"/>
        <w:b/>
        <w:color w:val="404040"/>
        <w:sz w:val="22"/>
      </w:rPr>
      <w:tblPr/>
      <w:trPr>
        <w:hidden/>
      </w:trPr>
      <w:tcPr>
        <w:tcBorders>
          <w:top w:val="single" w:sz="4" w:space="0" w:color="B6CEED" w:themeColor="accent1" w:themeTint="90"/>
          <w:left w:val="none" w:sz="4" w:space="0" w:color="000000"/>
          <w:bottom w:val="single" w:sz="4" w:space="0" w:color="B6CEE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DEE9F7" w:themeColor="accent1" w:themeTint="40" w:fill="DEE9F7" w:themeFill="accent1" w:themeFillTint="40"/>
      </w:tcPr>
    </w:tblStylePr>
    <w:tblStylePr w:type="band1Horz">
      <w:rPr>
        <w:rFonts w:ascii="Arial" w:hAnsi="Arial"/>
        <w:color w:val="404040"/>
        <w:sz w:val="22"/>
      </w:rPr>
      <w:tblPr/>
      <w:trPr>
        <w:hidden/>
      </w:trPr>
      <w:tcPr>
        <w:shd w:val="clear" w:color="DEE9F7" w:themeColor="accent1" w:themeTint="40" w:fill="DEE9F7"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F3AFAD" w:themeColor="accent2" w:themeTint="90"/>
        <w:bottom w:val="single" w:sz="4" w:space="0" w:color="F3AFAD" w:themeColor="accent2" w:themeTint="90"/>
        <w:insideH w:val="single" w:sz="4" w:space="0" w:color="F3AFAD" w:themeColor="accent2"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F3AFAD" w:themeColor="accent2" w:themeTint="90"/>
          <w:left w:val="none" w:sz="4" w:space="0" w:color="000000"/>
          <w:bottom w:val="single" w:sz="4" w:space="0" w:color="F3AFAD" w:themeColor="accent2" w:themeTint="90"/>
          <w:right w:val="none" w:sz="4" w:space="0" w:color="000000"/>
        </w:tcBorders>
      </w:tcPr>
    </w:tblStylePr>
    <w:tblStylePr w:type="lastRow">
      <w:rPr>
        <w:rFonts w:ascii="Arial" w:hAnsi="Arial"/>
        <w:b/>
        <w:color w:val="404040"/>
        <w:sz w:val="22"/>
      </w:rPr>
      <w:tblPr/>
      <w:trPr>
        <w:hidden/>
      </w:trPr>
      <w:tcPr>
        <w:tcBorders>
          <w:top w:val="single" w:sz="4" w:space="0" w:color="F3AFAD" w:themeColor="accent2" w:themeTint="90"/>
          <w:left w:val="none" w:sz="4" w:space="0" w:color="000000"/>
          <w:bottom w:val="single" w:sz="4" w:space="0" w:color="F3AFAD"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F9DBDA" w:themeColor="accent2" w:themeTint="40" w:fill="F9DBDA" w:themeFill="accent2" w:themeFillTint="40"/>
      </w:tcPr>
    </w:tblStylePr>
    <w:tblStylePr w:type="band1Horz">
      <w:rPr>
        <w:rFonts w:ascii="Arial" w:hAnsi="Arial"/>
        <w:color w:val="404040"/>
        <w:sz w:val="22"/>
      </w:rPr>
      <w:tblPr/>
      <w:trPr>
        <w:hidden/>
      </w:trPr>
      <w:tcPr>
        <w:shd w:val="clear" w:color="F9DBDA" w:themeColor="accent2" w:themeTint="40" w:fill="F9DBDA"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EE8B0" w:themeColor="accent3" w:themeTint="90"/>
        <w:bottom w:val="single" w:sz="4" w:space="0" w:color="CEE8B0" w:themeColor="accent3" w:themeTint="90"/>
        <w:insideH w:val="single" w:sz="4" w:space="0" w:color="CEE8B0" w:themeColor="accent3"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CEE8B0" w:themeColor="accent3" w:themeTint="90"/>
          <w:left w:val="none" w:sz="4" w:space="0" w:color="000000"/>
          <w:bottom w:val="single" w:sz="4" w:space="0" w:color="CEE8B0" w:themeColor="accent3" w:themeTint="90"/>
          <w:right w:val="none" w:sz="4" w:space="0" w:color="000000"/>
        </w:tcBorders>
      </w:tcPr>
    </w:tblStylePr>
    <w:tblStylePr w:type="lastRow">
      <w:rPr>
        <w:rFonts w:ascii="Arial" w:hAnsi="Arial"/>
        <w:b/>
        <w:color w:val="404040"/>
        <w:sz w:val="22"/>
      </w:rPr>
      <w:tblPr/>
      <w:trPr>
        <w:hidden/>
      </w:trPr>
      <w:tcPr>
        <w:tcBorders>
          <w:top w:val="single" w:sz="4" w:space="0" w:color="CEE8B0" w:themeColor="accent3" w:themeTint="90"/>
          <w:left w:val="none" w:sz="4" w:space="0" w:color="000000"/>
          <w:bottom w:val="single" w:sz="4" w:space="0" w:color="CEE8B0"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E9F5DC" w:themeColor="accent3" w:themeTint="40" w:fill="E9F5DC" w:themeFill="accent3" w:themeFillTint="40"/>
      </w:tcPr>
    </w:tblStylePr>
    <w:tblStylePr w:type="band1Horz">
      <w:rPr>
        <w:rFonts w:ascii="Arial" w:hAnsi="Arial"/>
        <w:color w:val="404040"/>
        <w:sz w:val="22"/>
      </w:rPr>
      <w:tblPr/>
      <w:trPr>
        <w:hidden/>
      </w:trPr>
      <w:tcPr>
        <w:shd w:val="clear" w:color="E9F5DC" w:themeColor="accent3" w:themeTint="40" w:fill="E9F5DC"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CDBDE0" w:themeColor="accent4" w:themeTint="90"/>
        <w:bottom w:val="single" w:sz="4" w:space="0" w:color="CDBDE0" w:themeColor="accent4" w:themeTint="90"/>
        <w:insideH w:val="single" w:sz="4" w:space="0" w:color="CDBDE0" w:themeColor="accent4"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CDBDE0" w:themeColor="accent4" w:themeTint="90"/>
          <w:left w:val="none" w:sz="4" w:space="0" w:color="000000"/>
          <w:bottom w:val="single" w:sz="4" w:space="0" w:color="CDBDE0" w:themeColor="accent4" w:themeTint="90"/>
          <w:right w:val="none" w:sz="4" w:space="0" w:color="000000"/>
        </w:tcBorders>
      </w:tcPr>
    </w:tblStylePr>
    <w:tblStylePr w:type="lastRow">
      <w:rPr>
        <w:rFonts w:ascii="Arial" w:hAnsi="Arial"/>
        <w:b/>
        <w:color w:val="404040"/>
        <w:sz w:val="22"/>
      </w:rPr>
      <w:tblPr/>
      <w:trPr>
        <w:hidden/>
      </w:trPr>
      <w:tcPr>
        <w:tcBorders>
          <w:top w:val="single" w:sz="4" w:space="0" w:color="CDBDE0" w:themeColor="accent4" w:themeTint="90"/>
          <w:left w:val="none" w:sz="4" w:space="0" w:color="000000"/>
          <w:bottom w:val="single" w:sz="4" w:space="0" w:color="CDBDE0"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E8E1F1" w:themeColor="accent4" w:themeTint="40" w:fill="E8E1F1" w:themeFill="accent4" w:themeFillTint="40"/>
      </w:tcPr>
    </w:tblStylePr>
    <w:tblStylePr w:type="band1Horz">
      <w:rPr>
        <w:rFonts w:ascii="Arial" w:hAnsi="Arial"/>
        <w:color w:val="404040"/>
        <w:sz w:val="22"/>
      </w:rPr>
      <w:tblPr/>
      <w:trPr>
        <w:hidden/>
      </w:trPr>
      <w:tcPr>
        <w:shd w:val="clear" w:color="E8E1F1" w:themeColor="accent4" w:themeTint="40" w:fill="E8E1F1"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B2E1EE" w:themeColor="accent5" w:themeTint="90"/>
        <w:bottom w:val="single" w:sz="4" w:space="0" w:color="B2E1EE" w:themeColor="accent5" w:themeTint="90"/>
        <w:insideH w:val="single" w:sz="4" w:space="0" w:color="B2E1EE" w:themeColor="accent5"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B2E1EE" w:themeColor="accent5" w:themeTint="90"/>
          <w:left w:val="none" w:sz="4" w:space="0" w:color="000000"/>
          <w:bottom w:val="single" w:sz="4" w:space="0" w:color="B2E1EE" w:themeColor="accent5" w:themeTint="90"/>
          <w:right w:val="none" w:sz="4" w:space="0" w:color="000000"/>
        </w:tcBorders>
      </w:tcPr>
    </w:tblStylePr>
    <w:tblStylePr w:type="lastRow">
      <w:rPr>
        <w:rFonts w:ascii="Arial" w:hAnsi="Arial"/>
        <w:b/>
        <w:color w:val="404040"/>
        <w:sz w:val="22"/>
      </w:rPr>
      <w:tblPr/>
      <w:trPr>
        <w:hidden/>
      </w:trPr>
      <w:tcPr>
        <w:tcBorders>
          <w:top w:val="single" w:sz="4" w:space="0" w:color="B2E1EE" w:themeColor="accent5" w:themeTint="90"/>
          <w:left w:val="none" w:sz="4" w:space="0" w:color="000000"/>
          <w:bottom w:val="single" w:sz="4" w:space="0" w:color="B2E1E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DCF1F7" w:themeColor="accent5" w:themeTint="40" w:fill="DCF1F7" w:themeFill="accent5" w:themeFillTint="40"/>
      </w:tcPr>
    </w:tblStylePr>
    <w:tblStylePr w:type="band1Horz">
      <w:rPr>
        <w:rFonts w:ascii="Arial" w:hAnsi="Arial"/>
        <w:color w:val="404040"/>
        <w:sz w:val="22"/>
      </w:rPr>
      <w:tblPr/>
      <w:trPr>
        <w:hidden/>
      </w:trPr>
      <w:tcPr>
        <w:shd w:val="clear" w:color="DCF1F7" w:themeColor="accent5" w:themeTint="40" w:fill="DCF1F7"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DDABE" w:themeColor="accent6" w:themeTint="90"/>
        <w:bottom w:val="single" w:sz="4" w:space="0" w:color="FDDABE" w:themeColor="accent6" w:themeTint="90"/>
        <w:insideH w:val="single" w:sz="4" w:space="0" w:color="FDDABE" w:themeColor="accent6"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FDDABE" w:themeColor="accent6" w:themeTint="90"/>
          <w:left w:val="none" w:sz="4" w:space="0" w:color="000000"/>
          <w:bottom w:val="single" w:sz="4" w:space="0" w:color="FDDABE" w:themeColor="accent6" w:themeTint="90"/>
          <w:right w:val="none" w:sz="4" w:space="0" w:color="000000"/>
        </w:tcBorders>
      </w:tcPr>
    </w:tblStylePr>
    <w:tblStylePr w:type="lastRow">
      <w:rPr>
        <w:rFonts w:ascii="Arial" w:hAnsi="Arial"/>
        <w:b/>
        <w:color w:val="404040"/>
        <w:sz w:val="22"/>
      </w:rPr>
      <w:tblPr/>
      <w:trPr>
        <w:hidden/>
      </w:trPr>
      <w:tcPr>
        <w:tcBorders>
          <w:top w:val="single" w:sz="4" w:space="0" w:color="FDDABE" w:themeColor="accent6" w:themeTint="90"/>
          <w:left w:val="none" w:sz="4" w:space="0" w:color="000000"/>
          <w:bottom w:val="single" w:sz="4" w:space="0" w:color="FDDABE"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FEEEE2" w:themeColor="accent6" w:themeTint="40" w:fill="FEEEE2" w:themeFill="accent6" w:themeFillTint="40"/>
      </w:tcPr>
    </w:tblStylePr>
    <w:tblStylePr w:type="band1Horz">
      <w:rPr>
        <w:rFonts w:ascii="Arial" w:hAnsi="Arial"/>
        <w:color w:val="404040"/>
        <w:sz w:val="22"/>
      </w:rPr>
      <w:tblPr/>
      <w:trPr>
        <w:hidden/>
      </w:trPr>
      <w:tcPr>
        <w:shd w:val="clear" w:color="FEEEE2" w:themeColor="accent6" w:themeTint="40" w:fill="FEEEE2"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000000" w:themeColor="text1"/>
          <w:right w:val="single" w:sz="4" w:space="0" w:color="000000" w:themeColor="text1"/>
        </w:tcBorders>
      </w:tcPr>
    </w:tblStylePr>
    <w:tblStylePr w:type="band1Horz">
      <w:rPr>
        <w:rFonts w:ascii="Arial" w:hAnsi="Arial"/>
        <w:color w:val="404040"/>
        <w:sz w:val="22"/>
      </w:rPr>
      <w:tblPr/>
      <w:trPr>
        <w:hidden/>
      </w:tr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7EAADF" w:themeColor="accent1"/>
        <w:left w:val="single" w:sz="4" w:space="0" w:color="7EAADF" w:themeColor="accent1"/>
        <w:bottom w:val="single" w:sz="4" w:space="0" w:color="7EAADF" w:themeColor="accent1"/>
        <w:right w:val="single" w:sz="4" w:space="0" w:color="7EAADF" w:themeColor="accent1"/>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7EAADF" w:themeColor="accent1" w:fill="7EAADF"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7EAADF" w:themeColor="accent1"/>
          <w:right w:val="single" w:sz="4" w:space="0" w:color="7EAADF" w:themeColor="accent1"/>
        </w:tcBorders>
      </w:tcPr>
    </w:tblStylePr>
    <w:tblStylePr w:type="band1Horz">
      <w:rPr>
        <w:rFonts w:ascii="Arial" w:hAnsi="Arial"/>
        <w:color w:val="404040"/>
        <w:sz w:val="22"/>
      </w:rPr>
      <w:tblPr/>
      <w:trPr>
        <w:hidden/>
      </w:trPr>
      <w:tcPr>
        <w:tcBorders>
          <w:top w:val="single" w:sz="4" w:space="0" w:color="7EAADF" w:themeColor="accent1"/>
          <w:bottom w:val="single" w:sz="4" w:space="0" w:color="7EAADF"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F2ABA9" w:themeColor="accent2" w:themeTint="97" w:fill="F2ABA9"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F2ABA9" w:themeColor="accent2" w:themeTint="97"/>
          <w:right w:val="single" w:sz="4" w:space="0" w:color="F2ABA9" w:themeColor="accent2" w:themeTint="97"/>
        </w:tcBorders>
      </w:tcPr>
    </w:tblStylePr>
    <w:tblStylePr w:type="band1Horz">
      <w:rPr>
        <w:rFonts w:ascii="Arial" w:hAnsi="Arial"/>
        <w:color w:val="404040"/>
        <w:sz w:val="22"/>
      </w:rPr>
      <w:tblPr/>
      <w:trPr>
        <w:hidden/>
      </w:trPr>
      <w:tcPr>
        <w:tcBorders>
          <w:top w:val="single" w:sz="4" w:space="0" w:color="F2ABA9" w:themeColor="accent2" w:themeTint="97"/>
          <w:bottom w:val="single" w:sz="4" w:space="0" w:color="F2ABA9"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BE7AB" w:themeColor="accent3" w:themeTint="98"/>
        <w:left w:val="single" w:sz="4" w:space="0" w:color="CBE7AB" w:themeColor="accent3" w:themeTint="98"/>
        <w:bottom w:val="single" w:sz="4" w:space="0" w:color="CBE7AB" w:themeColor="accent3" w:themeTint="98"/>
        <w:right w:val="single" w:sz="4" w:space="0" w:color="CBE7AB" w:themeColor="accent3" w:themeTint="98"/>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CBE7AB" w:themeColor="accent3" w:themeTint="98" w:fill="CBE7A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CBE7AB" w:themeColor="accent3" w:themeTint="98"/>
          <w:right w:val="single" w:sz="4" w:space="0" w:color="CBE7AB" w:themeColor="accent3" w:themeTint="98"/>
        </w:tcBorders>
      </w:tcPr>
    </w:tblStylePr>
    <w:tblStylePr w:type="band1Horz">
      <w:rPr>
        <w:rFonts w:ascii="Arial" w:hAnsi="Arial"/>
        <w:color w:val="404040"/>
        <w:sz w:val="22"/>
      </w:rPr>
      <w:tblPr/>
      <w:trPr>
        <w:hidden/>
      </w:trPr>
      <w:tcPr>
        <w:tcBorders>
          <w:top w:val="single" w:sz="4" w:space="0" w:color="CBE7AB" w:themeColor="accent3" w:themeTint="98"/>
          <w:bottom w:val="single" w:sz="4" w:space="0" w:color="CBE7A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C9B8DE" w:themeColor="accent4" w:themeTint="9A" w:fill="C9B8DE"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C9B8DE" w:themeColor="accent4" w:themeTint="9A"/>
          <w:right w:val="single" w:sz="4" w:space="0" w:color="C9B8DE" w:themeColor="accent4" w:themeTint="9A"/>
        </w:tcBorders>
      </w:tcPr>
    </w:tblStylePr>
    <w:tblStylePr w:type="band1Horz">
      <w:rPr>
        <w:rFonts w:ascii="Arial" w:hAnsi="Arial"/>
        <w:color w:val="404040"/>
        <w:sz w:val="22"/>
      </w:rPr>
      <w:tblPr/>
      <w:trPr>
        <w:hidden/>
      </w:trPr>
      <w:tcPr>
        <w:tcBorders>
          <w:top w:val="single" w:sz="4" w:space="0" w:color="C9B8DE" w:themeColor="accent4" w:themeTint="9A"/>
          <w:bottom w:val="single" w:sz="4" w:space="0" w:color="C9B8DE"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ADDFED" w:themeColor="accent5" w:themeTint="9A"/>
        <w:left w:val="single" w:sz="4" w:space="0" w:color="ADDFED" w:themeColor="accent5" w:themeTint="9A"/>
        <w:bottom w:val="single" w:sz="4" w:space="0" w:color="ADDFED" w:themeColor="accent5" w:themeTint="9A"/>
        <w:right w:val="single" w:sz="4" w:space="0" w:color="ADDFED" w:themeColor="accent5" w:themeTint="9A"/>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ADDFED" w:themeColor="accent5" w:themeTint="9A" w:fill="ADDFED"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ADDFED" w:themeColor="accent5" w:themeTint="9A"/>
          <w:right w:val="single" w:sz="4" w:space="0" w:color="ADDFED" w:themeColor="accent5" w:themeTint="9A"/>
        </w:tcBorders>
      </w:tcPr>
    </w:tblStylePr>
    <w:tblStylePr w:type="band1Horz">
      <w:rPr>
        <w:rFonts w:ascii="Arial" w:hAnsi="Arial"/>
        <w:color w:val="404040"/>
        <w:sz w:val="22"/>
      </w:rPr>
      <w:tblPr/>
      <w:trPr>
        <w:hidden/>
      </w:trPr>
      <w:tcPr>
        <w:tcBorders>
          <w:top w:val="single" w:sz="4" w:space="0" w:color="ADDFED" w:themeColor="accent5" w:themeTint="9A"/>
          <w:bottom w:val="single" w:sz="4" w:space="0" w:color="ADDFED"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DD8BA" w:themeColor="accent6" w:themeTint="98"/>
        <w:left w:val="single" w:sz="4" w:space="0" w:color="FDD8BA" w:themeColor="accent6" w:themeTint="98"/>
        <w:bottom w:val="single" w:sz="4" w:space="0" w:color="FDD8BA" w:themeColor="accent6" w:themeTint="98"/>
        <w:right w:val="single" w:sz="4" w:space="0" w:color="FDD8BA" w:themeColor="accent6" w:themeTint="98"/>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FDD8BA" w:themeColor="accent6" w:themeTint="98" w:fill="FDD8BA"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FDD8BA" w:themeColor="accent6" w:themeTint="98"/>
          <w:right w:val="single" w:sz="4" w:space="0" w:color="FDD8BA" w:themeColor="accent6" w:themeTint="98"/>
        </w:tcBorders>
      </w:tcPr>
    </w:tblStylePr>
    <w:tblStylePr w:type="band1Horz">
      <w:rPr>
        <w:rFonts w:ascii="Arial" w:hAnsi="Arial"/>
        <w:color w:val="404040"/>
        <w:sz w:val="22"/>
      </w:rPr>
      <w:tblPr/>
      <w:trPr>
        <w:hidden/>
      </w:trPr>
      <w:tcPr>
        <w:tcBorders>
          <w:top w:val="single" w:sz="4" w:space="0" w:color="FDD8BA" w:themeColor="accent6" w:themeTint="98"/>
          <w:bottom w:val="single" w:sz="4" w:space="0" w:color="FDD8BA"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BFBFBF" w:themeColor="text1" w:themeTint="40" w:fill="BFBFBF" w:themeFill="text1" w:themeFillTint="40"/>
      </w:tcPr>
    </w:tblStylePr>
    <w:tblStylePr w:type="band1Horz">
      <w:rPr>
        <w:rFonts w:ascii="Arial" w:hAnsi="Arial"/>
        <w:color w:val="404040"/>
        <w:sz w:val="22"/>
      </w:rPr>
      <w:tblPr/>
      <w:trPr>
        <w:hidden/>
      </w:tr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B6CEED" w:themeColor="accent1" w:themeTint="90"/>
        <w:left w:val="single" w:sz="4" w:space="0" w:color="B6CEED" w:themeColor="accent1" w:themeTint="90"/>
        <w:bottom w:val="single" w:sz="4" w:space="0" w:color="B6CEED" w:themeColor="accent1" w:themeTint="90"/>
        <w:right w:val="single" w:sz="4" w:space="0" w:color="B6CEED" w:themeColor="accent1" w:themeTint="90"/>
        <w:insideH w:val="single" w:sz="4" w:space="0" w:color="B6CEED" w:themeColor="accent1"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7EAADF" w:themeColor="accent1" w:fill="7EAADF"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DEE9F7" w:themeColor="accent1" w:themeTint="40" w:fill="DEE9F7" w:themeFill="accent1" w:themeFillTint="40"/>
      </w:tcPr>
    </w:tblStylePr>
    <w:tblStylePr w:type="band1Horz">
      <w:rPr>
        <w:rFonts w:ascii="Arial" w:hAnsi="Arial"/>
        <w:color w:val="404040"/>
        <w:sz w:val="22"/>
      </w:rPr>
      <w:tblPr/>
      <w:trPr>
        <w:hidden/>
      </w:trPr>
      <w:tcPr>
        <w:shd w:val="clear" w:color="DEE9F7" w:themeColor="accent1" w:themeTint="40" w:fill="DEE9F7"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F3AFAD" w:themeColor="accent2" w:themeTint="90"/>
        <w:left w:val="single" w:sz="4" w:space="0" w:color="F3AFAD" w:themeColor="accent2" w:themeTint="90"/>
        <w:bottom w:val="single" w:sz="4" w:space="0" w:color="F3AFAD" w:themeColor="accent2" w:themeTint="90"/>
        <w:right w:val="single" w:sz="4" w:space="0" w:color="F3AFAD" w:themeColor="accent2" w:themeTint="90"/>
        <w:insideH w:val="single" w:sz="4" w:space="0" w:color="F3AFAD" w:themeColor="accent2"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EA726F" w:themeColor="accent2" w:fill="EA726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9DBDA" w:themeColor="accent2" w:themeTint="40" w:fill="F9DBDA" w:themeFill="accent2" w:themeFillTint="40"/>
      </w:tcPr>
    </w:tblStylePr>
    <w:tblStylePr w:type="band1Horz">
      <w:rPr>
        <w:rFonts w:ascii="Arial" w:hAnsi="Arial"/>
        <w:color w:val="404040"/>
        <w:sz w:val="22"/>
      </w:rPr>
      <w:tblPr/>
      <w:trPr>
        <w:hidden/>
      </w:trPr>
      <w:tcPr>
        <w:shd w:val="clear" w:color="F9DBDA" w:themeColor="accent2" w:themeTint="40" w:fill="F9DBDA"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EE8B0" w:themeColor="accent3" w:themeTint="90"/>
        <w:left w:val="single" w:sz="4" w:space="0" w:color="CEE8B0" w:themeColor="accent3" w:themeTint="90"/>
        <w:bottom w:val="single" w:sz="4" w:space="0" w:color="CEE8B0" w:themeColor="accent3" w:themeTint="90"/>
        <w:right w:val="single" w:sz="4" w:space="0" w:color="CEE8B0" w:themeColor="accent3" w:themeTint="90"/>
        <w:insideH w:val="single" w:sz="4" w:space="0" w:color="CEE8B0" w:themeColor="accent3"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A9D774" w:themeColor="accent3" w:fill="A9D77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9F5DC" w:themeColor="accent3" w:themeTint="40" w:fill="E9F5DC" w:themeFill="accent3" w:themeFillTint="40"/>
      </w:tcPr>
    </w:tblStylePr>
    <w:tblStylePr w:type="band1Horz">
      <w:rPr>
        <w:rFonts w:ascii="Arial" w:hAnsi="Arial"/>
        <w:color w:val="404040"/>
        <w:sz w:val="22"/>
      </w:rPr>
      <w:tblPr/>
      <w:trPr>
        <w:hidden/>
      </w:trPr>
      <w:tcPr>
        <w:shd w:val="clear" w:color="E9F5DC" w:themeColor="accent3" w:themeTint="40" w:fill="E9F5DC"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CDBDE0" w:themeColor="accent4" w:themeTint="90"/>
        <w:left w:val="single" w:sz="4" w:space="0" w:color="CDBDE0" w:themeColor="accent4" w:themeTint="90"/>
        <w:bottom w:val="single" w:sz="4" w:space="0" w:color="CDBDE0" w:themeColor="accent4" w:themeTint="90"/>
        <w:right w:val="single" w:sz="4" w:space="0" w:color="CDBDE0" w:themeColor="accent4" w:themeTint="90"/>
        <w:insideH w:val="single" w:sz="4" w:space="0" w:color="CDBDE0" w:themeColor="accent4"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A78BC9" w:themeColor="accent4" w:fill="A78BC9"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8E1F1" w:themeColor="accent4" w:themeTint="40" w:fill="E8E1F1" w:themeFill="accent4" w:themeFillTint="40"/>
      </w:tcPr>
    </w:tblStylePr>
    <w:tblStylePr w:type="band1Horz">
      <w:rPr>
        <w:rFonts w:ascii="Arial" w:hAnsi="Arial"/>
        <w:color w:val="404040"/>
        <w:sz w:val="22"/>
      </w:rPr>
      <w:tblPr/>
      <w:trPr>
        <w:hidden/>
      </w:trPr>
      <w:tcPr>
        <w:shd w:val="clear" w:color="E8E1F1" w:themeColor="accent4" w:themeTint="40" w:fill="E8E1F1"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B2E1EE" w:themeColor="accent5" w:themeTint="90"/>
        <w:left w:val="single" w:sz="4" w:space="0" w:color="B2E1EE" w:themeColor="accent5" w:themeTint="90"/>
        <w:bottom w:val="single" w:sz="4" w:space="0" w:color="B2E1EE" w:themeColor="accent5" w:themeTint="90"/>
        <w:right w:val="single" w:sz="4" w:space="0" w:color="B2E1EE" w:themeColor="accent5" w:themeTint="90"/>
        <w:insideH w:val="single" w:sz="4" w:space="0" w:color="B2E1EE" w:themeColor="accent5"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78CBE1" w:themeColor="accent5" w:fill="78CBE1"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DCF1F7" w:themeColor="accent5" w:themeTint="40" w:fill="DCF1F7" w:themeFill="accent5" w:themeFillTint="40"/>
      </w:tcPr>
    </w:tblStylePr>
    <w:tblStylePr w:type="band1Horz">
      <w:rPr>
        <w:rFonts w:ascii="Arial" w:hAnsi="Arial"/>
        <w:color w:val="404040"/>
        <w:sz w:val="22"/>
      </w:rPr>
      <w:tblPr/>
      <w:trPr>
        <w:hidden/>
      </w:trPr>
      <w:tcPr>
        <w:shd w:val="clear" w:color="DCF1F7" w:themeColor="accent5" w:themeTint="40" w:fill="DCF1F7"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DDABE" w:themeColor="accent6" w:themeTint="90"/>
        <w:left w:val="single" w:sz="4" w:space="0" w:color="FDDABE" w:themeColor="accent6" w:themeTint="90"/>
        <w:bottom w:val="single" w:sz="4" w:space="0" w:color="FDDABE" w:themeColor="accent6" w:themeTint="90"/>
        <w:right w:val="single" w:sz="4" w:space="0" w:color="FDDABE" w:themeColor="accent6" w:themeTint="90"/>
        <w:insideH w:val="single" w:sz="4" w:space="0" w:color="FDDABE" w:themeColor="accent6"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FCBF8C" w:themeColor="accent6" w:fill="FCBF8C"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EEEE2" w:themeColor="accent6" w:themeTint="40" w:fill="FEEEE2" w:themeFill="accent6" w:themeFillTint="40"/>
      </w:tcPr>
    </w:tblStylePr>
    <w:tblStylePr w:type="band1Horz">
      <w:rPr>
        <w:rFonts w:ascii="Arial" w:hAnsi="Arial"/>
        <w:color w:val="404040"/>
        <w:sz w:val="22"/>
      </w:rPr>
      <w:tblPr/>
      <w:trPr>
        <w:hidden/>
      </w:trPr>
      <w:tcPr>
        <w:shd w:val="clear" w:color="FEEEE2" w:themeColor="accent6" w:themeTint="40" w:fill="FEEEE2"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7F7F7F" w:themeColor="text1" w:themeTint="80"/>
          <w:right w:val="single" w:sz="4" w:space="0" w:color="FFFFFF" w:themeColor="light1"/>
        </w:tcBorders>
      </w:tcPr>
    </w:tblStylePr>
    <w:tblStylePr w:type="lastCol">
      <w:tblPr/>
      <w:trPr>
        <w:hidden/>
      </w:trPr>
      <w:tcPr>
        <w:tcBorders>
          <w:left w:val="single" w:sz="4" w:space="0" w:color="FFFFFF" w:themeColor="light1"/>
          <w:right w:val="single" w:sz="32" w:space="0" w:color="7F7F7F" w:themeColor="text1" w:themeTint="80"/>
        </w:tcBorders>
      </w:tcPr>
    </w:tblStylePr>
    <w:tblStylePr w:type="band1Vert">
      <w:tblPr/>
      <w:trPr>
        <w:hidden/>
      </w:tr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rPr>
        <w:hidden/>
      </w:tr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7EAADF" w:themeColor="accent1"/>
        <w:left w:val="single" w:sz="32" w:space="0" w:color="7EAADF" w:themeColor="accent1"/>
        <w:bottom w:val="single" w:sz="32" w:space="0" w:color="7EAADF" w:themeColor="accent1"/>
        <w:right w:val="single" w:sz="32" w:space="0" w:color="7EAADF" w:themeColor="accent1"/>
      </w:tblBorders>
      <w:shd w:val="clear" w:color="7EAADF" w:themeColor="accent1" w:fill="7EAADF" w:themeFill="accent1"/>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7EAADF" w:themeColor="accent1"/>
          <w:bottom w:val="single" w:sz="12" w:space="0" w:color="FFFFFF" w:themeColor="light1"/>
        </w:tcBorders>
        <w:shd w:val="clear" w:color="7EAADF" w:themeColor="accent1" w:fill="7EAADF"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7EAADF" w:themeColor="accent1"/>
          <w:right w:val="single" w:sz="4" w:space="0" w:color="FFFFFF" w:themeColor="light1"/>
        </w:tcBorders>
      </w:tcPr>
    </w:tblStylePr>
    <w:tblStylePr w:type="lastCol">
      <w:tblPr/>
      <w:trPr>
        <w:hidden/>
      </w:trPr>
      <w:tcPr>
        <w:tcBorders>
          <w:left w:val="single" w:sz="4" w:space="0" w:color="FFFFFF" w:themeColor="light1"/>
          <w:right w:val="single" w:sz="32" w:space="0" w:color="7EAADF" w:themeColor="accent1"/>
        </w:tcBorders>
      </w:tcPr>
    </w:tblStylePr>
    <w:tblStylePr w:type="band1Vert">
      <w:tblPr/>
      <w:trPr>
        <w:hidden/>
      </w:trPr>
      <w:tcPr>
        <w:tcBorders>
          <w:left w:val="single" w:sz="4" w:space="0" w:color="FFFFFF" w:themeColor="light1"/>
          <w:right w:val="single" w:sz="4" w:space="0" w:color="FFFFFF" w:themeColor="light1"/>
        </w:tcBorders>
        <w:shd w:val="clear" w:color="7EAADF" w:themeColor="accent1" w:fill="7EAADF" w:themeFill="accent1"/>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7EAADF" w:themeColor="accent1" w:fill="7EAADF" w:themeFill="accent1"/>
      </w:tcPr>
    </w:tblStylePr>
    <w:tblStylePr w:type="band2Horz">
      <w:tblPr/>
      <w:trPr>
        <w:hidden/>
      </w:trPr>
      <w:tcPr>
        <w:tcBorders>
          <w:top w:val="single" w:sz="4" w:space="0" w:color="FFFFFF" w:themeColor="light1"/>
          <w:bottom w:val="single" w:sz="4" w:space="0" w:color="FFFFFF" w:themeColor="light1"/>
        </w:tcBorders>
        <w:shd w:val="clear" w:color="7EAADF" w:themeColor="accent1" w:fill="7EAADF"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F2ABA9" w:themeColor="accent2" w:themeTint="97"/>
        <w:left w:val="single" w:sz="32" w:space="0" w:color="F2ABA9" w:themeColor="accent2" w:themeTint="97"/>
        <w:bottom w:val="single" w:sz="32" w:space="0" w:color="F2ABA9" w:themeColor="accent2" w:themeTint="97"/>
        <w:right w:val="single" w:sz="32" w:space="0" w:color="F2ABA9" w:themeColor="accent2" w:themeTint="97"/>
      </w:tblBorders>
      <w:shd w:val="clear" w:color="F2ABA9" w:themeColor="accent2" w:themeTint="97" w:fill="F2ABA9" w:themeFill="accent2" w:themeFillTint="97"/>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F2ABA9" w:themeColor="accent2" w:themeTint="97"/>
          <w:bottom w:val="single" w:sz="12" w:space="0" w:color="FFFFFF" w:themeColor="light1"/>
        </w:tcBorders>
        <w:shd w:val="clear" w:color="F2ABA9" w:themeColor="accent2" w:themeTint="97" w:fill="F2ABA9"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F2ABA9" w:themeColor="accent2" w:themeTint="97"/>
          <w:right w:val="single" w:sz="4" w:space="0" w:color="FFFFFF" w:themeColor="light1"/>
        </w:tcBorders>
      </w:tcPr>
    </w:tblStylePr>
    <w:tblStylePr w:type="lastCol">
      <w:tblPr/>
      <w:trPr>
        <w:hidden/>
      </w:trPr>
      <w:tcPr>
        <w:tcBorders>
          <w:left w:val="single" w:sz="4" w:space="0" w:color="FFFFFF" w:themeColor="light1"/>
          <w:right w:val="single" w:sz="32" w:space="0" w:color="F2ABA9" w:themeColor="accent2" w:themeTint="97"/>
        </w:tcBorders>
      </w:tcPr>
    </w:tblStylePr>
    <w:tblStylePr w:type="band1Vert">
      <w:tblPr/>
      <w:trPr>
        <w:hidden/>
      </w:trPr>
      <w:tcPr>
        <w:tcBorders>
          <w:left w:val="single" w:sz="4" w:space="0" w:color="FFFFFF" w:themeColor="light1"/>
          <w:right w:val="single" w:sz="4" w:space="0" w:color="FFFFFF" w:themeColor="light1"/>
        </w:tcBorders>
        <w:shd w:val="clear" w:color="F2ABA9" w:themeColor="accent2" w:themeTint="97" w:fill="F2ABA9" w:themeFill="accent2" w:themeFillTint="97"/>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F2ABA9" w:themeColor="accent2" w:themeTint="97" w:fill="F2ABA9" w:themeFill="accent2" w:themeFillTint="97"/>
      </w:tcPr>
    </w:tblStylePr>
    <w:tblStylePr w:type="band2Horz">
      <w:tblPr/>
      <w:trPr>
        <w:hidden/>
      </w:trPr>
      <w:tcPr>
        <w:tcBorders>
          <w:top w:val="single" w:sz="4" w:space="0" w:color="FFFFFF" w:themeColor="light1"/>
          <w:bottom w:val="single" w:sz="4" w:space="0" w:color="FFFFFF" w:themeColor="light1"/>
        </w:tcBorders>
        <w:shd w:val="clear" w:color="F2ABA9" w:themeColor="accent2" w:themeTint="97" w:fill="F2ABA9"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BE7AB" w:themeColor="accent3" w:themeTint="98"/>
        <w:left w:val="single" w:sz="32" w:space="0" w:color="CBE7AB" w:themeColor="accent3" w:themeTint="98"/>
        <w:bottom w:val="single" w:sz="32" w:space="0" w:color="CBE7AB" w:themeColor="accent3" w:themeTint="98"/>
        <w:right w:val="single" w:sz="32" w:space="0" w:color="CBE7AB" w:themeColor="accent3" w:themeTint="98"/>
      </w:tblBorders>
      <w:shd w:val="clear" w:color="CBE7AB" w:themeColor="accent3" w:themeTint="98" w:fill="CBE7AB" w:themeFill="accent3" w:themeFillTint="98"/>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CBE7AB" w:themeColor="accent3" w:themeTint="98"/>
          <w:bottom w:val="single" w:sz="12" w:space="0" w:color="FFFFFF" w:themeColor="light1"/>
        </w:tcBorders>
        <w:shd w:val="clear" w:color="CBE7AB" w:themeColor="accent3" w:themeTint="98" w:fill="CBE7A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CBE7AB" w:themeColor="accent3" w:themeTint="98"/>
          <w:right w:val="single" w:sz="4" w:space="0" w:color="FFFFFF" w:themeColor="light1"/>
        </w:tcBorders>
      </w:tcPr>
    </w:tblStylePr>
    <w:tblStylePr w:type="lastCol">
      <w:tblPr/>
      <w:trPr>
        <w:hidden/>
      </w:trPr>
      <w:tcPr>
        <w:tcBorders>
          <w:left w:val="single" w:sz="4" w:space="0" w:color="FFFFFF" w:themeColor="light1"/>
          <w:right w:val="single" w:sz="32" w:space="0" w:color="CBE7AB" w:themeColor="accent3" w:themeTint="98"/>
        </w:tcBorders>
      </w:tcPr>
    </w:tblStylePr>
    <w:tblStylePr w:type="band1Vert">
      <w:tblPr/>
      <w:trPr>
        <w:hidden/>
      </w:trPr>
      <w:tcPr>
        <w:tcBorders>
          <w:left w:val="single" w:sz="4" w:space="0" w:color="FFFFFF" w:themeColor="light1"/>
          <w:right w:val="single" w:sz="4" w:space="0" w:color="FFFFFF" w:themeColor="light1"/>
        </w:tcBorders>
        <w:shd w:val="clear" w:color="CBE7AB" w:themeColor="accent3" w:themeTint="98" w:fill="CBE7AB" w:themeFill="accent3" w:themeFillTint="98"/>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CBE7AB" w:themeColor="accent3" w:themeTint="98" w:fill="CBE7AB" w:themeFill="accent3" w:themeFillTint="98"/>
      </w:tcPr>
    </w:tblStylePr>
    <w:tblStylePr w:type="band2Horz">
      <w:tblPr/>
      <w:trPr>
        <w:hidden/>
      </w:trPr>
      <w:tcPr>
        <w:tcBorders>
          <w:top w:val="single" w:sz="4" w:space="0" w:color="FFFFFF" w:themeColor="light1"/>
          <w:bottom w:val="single" w:sz="4" w:space="0" w:color="FFFFFF" w:themeColor="light1"/>
        </w:tcBorders>
        <w:shd w:val="clear" w:color="CBE7AB" w:themeColor="accent3" w:themeTint="98" w:fill="CBE7A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C9B8DE" w:themeColor="accent4" w:themeTint="9A"/>
        <w:left w:val="single" w:sz="32" w:space="0" w:color="C9B8DE" w:themeColor="accent4" w:themeTint="9A"/>
        <w:bottom w:val="single" w:sz="32" w:space="0" w:color="C9B8DE" w:themeColor="accent4" w:themeTint="9A"/>
        <w:right w:val="single" w:sz="32" w:space="0" w:color="C9B8DE" w:themeColor="accent4" w:themeTint="9A"/>
      </w:tblBorders>
      <w:shd w:val="clear" w:color="C9B8DE" w:themeColor="accent4" w:themeTint="9A" w:fill="C9B8DE" w:themeFill="accent4" w:themeFillTint="9A"/>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C9B8DE" w:themeColor="accent4" w:themeTint="9A"/>
          <w:bottom w:val="single" w:sz="12" w:space="0" w:color="FFFFFF" w:themeColor="light1"/>
        </w:tcBorders>
        <w:shd w:val="clear" w:color="C9B8DE" w:themeColor="accent4" w:themeTint="9A" w:fill="C9B8DE"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C9B8DE" w:themeColor="accent4" w:themeTint="9A"/>
          <w:right w:val="single" w:sz="4" w:space="0" w:color="FFFFFF" w:themeColor="light1"/>
        </w:tcBorders>
      </w:tcPr>
    </w:tblStylePr>
    <w:tblStylePr w:type="lastCol">
      <w:tblPr/>
      <w:trPr>
        <w:hidden/>
      </w:trPr>
      <w:tcPr>
        <w:tcBorders>
          <w:left w:val="single" w:sz="4" w:space="0" w:color="FFFFFF" w:themeColor="light1"/>
          <w:right w:val="single" w:sz="32" w:space="0" w:color="C9B8DE" w:themeColor="accent4" w:themeTint="9A"/>
        </w:tcBorders>
      </w:tcPr>
    </w:tblStylePr>
    <w:tblStylePr w:type="band1Vert">
      <w:tblPr/>
      <w:trPr>
        <w:hidden/>
      </w:trPr>
      <w:tcPr>
        <w:tcBorders>
          <w:left w:val="single" w:sz="4" w:space="0" w:color="FFFFFF" w:themeColor="light1"/>
          <w:right w:val="single" w:sz="4" w:space="0" w:color="FFFFFF" w:themeColor="light1"/>
        </w:tcBorders>
        <w:shd w:val="clear" w:color="C9B8DE" w:themeColor="accent4" w:themeTint="9A" w:fill="C9B8DE" w:themeFill="accent4" w:themeFillTint="9A"/>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C9B8DE" w:themeColor="accent4" w:themeTint="9A" w:fill="C9B8DE" w:themeFill="accent4" w:themeFillTint="9A"/>
      </w:tcPr>
    </w:tblStylePr>
    <w:tblStylePr w:type="band2Horz">
      <w:tblPr/>
      <w:trPr>
        <w:hidden/>
      </w:trPr>
      <w:tcPr>
        <w:tcBorders>
          <w:top w:val="single" w:sz="4" w:space="0" w:color="FFFFFF" w:themeColor="light1"/>
          <w:bottom w:val="single" w:sz="4" w:space="0" w:color="FFFFFF" w:themeColor="light1"/>
        </w:tcBorders>
        <w:shd w:val="clear" w:color="C9B8DE" w:themeColor="accent4" w:themeTint="9A" w:fill="C9B8DE"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ADDFED" w:themeColor="accent5" w:themeTint="9A"/>
        <w:left w:val="single" w:sz="32" w:space="0" w:color="ADDFED" w:themeColor="accent5" w:themeTint="9A"/>
        <w:bottom w:val="single" w:sz="32" w:space="0" w:color="ADDFED" w:themeColor="accent5" w:themeTint="9A"/>
        <w:right w:val="single" w:sz="32" w:space="0" w:color="ADDFED" w:themeColor="accent5" w:themeTint="9A"/>
      </w:tblBorders>
      <w:shd w:val="clear" w:color="ADDFED" w:themeColor="accent5" w:themeTint="9A" w:fill="ADDFED" w:themeFill="accent5" w:themeFillTint="9A"/>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ADDFED" w:themeColor="accent5" w:themeTint="9A"/>
          <w:bottom w:val="single" w:sz="12" w:space="0" w:color="FFFFFF" w:themeColor="light1"/>
        </w:tcBorders>
        <w:shd w:val="clear" w:color="ADDFED" w:themeColor="accent5" w:themeTint="9A" w:fill="ADDFED"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ADDFED" w:themeColor="accent5" w:themeTint="9A"/>
          <w:right w:val="single" w:sz="4" w:space="0" w:color="FFFFFF" w:themeColor="light1"/>
        </w:tcBorders>
      </w:tcPr>
    </w:tblStylePr>
    <w:tblStylePr w:type="lastCol">
      <w:tblPr/>
      <w:trPr>
        <w:hidden/>
      </w:trPr>
      <w:tcPr>
        <w:tcBorders>
          <w:left w:val="single" w:sz="4" w:space="0" w:color="FFFFFF" w:themeColor="light1"/>
          <w:right w:val="single" w:sz="32" w:space="0" w:color="ADDFED" w:themeColor="accent5" w:themeTint="9A"/>
        </w:tcBorders>
      </w:tcPr>
    </w:tblStylePr>
    <w:tblStylePr w:type="band1Vert">
      <w:tblPr/>
      <w:trPr>
        <w:hidden/>
      </w:trPr>
      <w:tcPr>
        <w:tcBorders>
          <w:left w:val="single" w:sz="4" w:space="0" w:color="FFFFFF" w:themeColor="light1"/>
          <w:right w:val="single" w:sz="4" w:space="0" w:color="FFFFFF" w:themeColor="light1"/>
        </w:tcBorders>
        <w:shd w:val="clear" w:color="ADDFED" w:themeColor="accent5" w:themeTint="9A" w:fill="ADDFED" w:themeFill="accent5" w:themeFillTint="9A"/>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ADDFED" w:themeColor="accent5" w:themeTint="9A" w:fill="ADDFED" w:themeFill="accent5" w:themeFillTint="9A"/>
      </w:tcPr>
    </w:tblStylePr>
    <w:tblStylePr w:type="band2Horz">
      <w:tblPr/>
      <w:trPr>
        <w:hidden/>
      </w:trPr>
      <w:tcPr>
        <w:tcBorders>
          <w:top w:val="single" w:sz="4" w:space="0" w:color="FFFFFF" w:themeColor="light1"/>
          <w:bottom w:val="single" w:sz="4" w:space="0" w:color="FFFFFF" w:themeColor="light1"/>
        </w:tcBorders>
        <w:shd w:val="clear" w:color="ADDFED" w:themeColor="accent5" w:themeTint="9A" w:fill="ADDFED"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DD8BA" w:themeColor="accent6" w:themeTint="98"/>
        <w:left w:val="single" w:sz="32" w:space="0" w:color="FDD8BA" w:themeColor="accent6" w:themeTint="98"/>
        <w:bottom w:val="single" w:sz="32" w:space="0" w:color="FDD8BA" w:themeColor="accent6" w:themeTint="98"/>
        <w:right w:val="single" w:sz="32" w:space="0" w:color="FDD8BA" w:themeColor="accent6" w:themeTint="98"/>
      </w:tblBorders>
      <w:shd w:val="clear" w:color="FDD8BA" w:themeColor="accent6" w:themeTint="98" w:fill="FDD8BA" w:themeFill="accent6" w:themeFillTint="98"/>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FDD8BA" w:themeColor="accent6" w:themeTint="98"/>
          <w:bottom w:val="single" w:sz="12" w:space="0" w:color="FFFFFF" w:themeColor="light1"/>
        </w:tcBorders>
        <w:shd w:val="clear" w:color="FDD8BA" w:themeColor="accent6" w:themeTint="98" w:fill="FDD8BA"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FDD8BA" w:themeColor="accent6" w:themeTint="98"/>
          <w:right w:val="single" w:sz="4" w:space="0" w:color="FFFFFF" w:themeColor="light1"/>
        </w:tcBorders>
      </w:tcPr>
    </w:tblStylePr>
    <w:tblStylePr w:type="lastCol">
      <w:tblPr/>
      <w:trPr>
        <w:hidden/>
      </w:trPr>
      <w:tcPr>
        <w:tcBorders>
          <w:left w:val="single" w:sz="4" w:space="0" w:color="FFFFFF" w:themeColor="light1"/>
          <w:right w:val="single" w:sz="32" w:space="0" w:color="FDD8BA" w:themeColor="accent6" w:themeTint="98"/>
        </w:tcBorders>
      </w:tcPr>
    </w:tblStylePr>
    <w:tblStylePr w:type="band1Vert">
      <w:tblPr/>
      <w:trPr>
        <w:hidden/>
      </w:trPr>
      <w:tcPr>
        <w:tcBorders>
          <w:left w:val="single" w:sz="4" w:space="0" w:color="FFFFFF" w:themeColor="light1"/>
          <w:right w:val="single" w:sz="4" w:space="0" w:color="FFFFFF" w:themeColor="light1"/>
        </w:tcBorders>
        <w:shd w:val="clear" w:color="FDD8BA" w:themeColor="accent6" w:themeTint="98" w:fill="FDD8BA" w:themeFill="accent6" w:themeFillTint="98"/>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FDD8BA" w:themeColor="accent6" w:themeTint="98" w:fill="FDD8BA" w:themeFill="accent6" w:themeFillTint="98"/>
      </w:tcPr>
    </w:tblStylePr>
    <w:tblStylePr w:type="band2Horz">
      <w:tblPr/>
      <w:trPr>
        <w:hidden/>
      </w:trPr>
      <w:tcPr>
        <w:tcBorders>
          <w:top w:val="single" w:sz="4" w:space="0" w:color="FFFFFF" w:themeColor="light1"/>
          <w:bottom w:val="single" w:sz="4" w:space="0" w:color="FFFFFF" w:themeColor="light1"/>
        </w:tcBorders>
        <w:shd w:val="clear" w:color="FDD8BA" w:themeColor="accent6" w:themeTint="98" w:fill="FDD8BA"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rPr>
      <w:hidden/>
    </w:trPr>
    <w:tblStylePr w:type="firstRow">
      <w:rPr>
        <w:b/>
        <w:color w:val="000000" w:themeColor="text1"/>
      </w:rPr>
      <w:tblPr/>
      <w:trPr>
        <w:hidden/>
      </w:trPr>
      <w:tcPr>
        <w:tcBorders>
          <w:bottom w:val="single" w:sz="4" w:space="0" w:color="7F7F7F" w:themeColor="text1" w:themeTint="80"/>
        </w:tcBorders>
      </w:tcPr>
    </w:tblStylePr>
    <w:tblStylePr w:type="lastRow">
      <w:rPr>
        <w:b/>
        <w:color w:val="000000" w:themeColor="text1"/>
      </w:rPr>
      <w:tblPr/>
      <w:trPr>
        <w:hidden/>
      </w:tr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rPr>
        <w:hidden/>
      </w:trPr>
      <w:tcPr>
        <w:shd w:val="clear" w:color="BFBFBF" w:themeColor="text1" w:themeTint="40" w:fill="BFBFBF" w:themeFill="text1" w:themeFillTint="40"/>
      </w:tcPr>
    </w:tblStylePr>
    <w:tblStylePr w:type="band1Horz">
      <w:rPr>
        <w:rFonts w:ascii="Arial" w:hAnsi="Arial"/>
        <w:color w:val="000000" w:themeColor="text1"/>
        <w:sz w:val="22"/>
      </w:rPr>
      <w:tblPr/>
      <w:trPr>
        <w:hidden/>
      </w:tr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7EAADF" w:themeColor="accent1"/>
        <w:bottom w:val="single" w:sz="4" w:space="0" w:color="7EAADF" w:themeColor="accent1"/>
      </w:tblBorders>
      <w:tblCellMar>
        <w:top w:w="0" w:type="dxa"/>
        <w:left w:w="108" w:type="dxa"/>
        <w:bottom w:w="0" w:type="dxa"/>
        <w:right w:w="108" w:type="dxa"/>
      </w:tblCellMar>
    </w:tblPr>
    <w:trPr>
      <w:hidden/>
    </w:trPr>
    <w:tblStylePr w:type="firstRow">
      <w:rPr>
        <w:b/>
        <w:color w:val="285FA3" w:themeColor="accent1" w:themeShade="95"/>
      </w:rPr>
      <w:tblPr/>
      <w:trPr>
        <w:hidden/>
      </w:trPr>
      <w:tcPr>
        <w:tcBorders>
          <w:bottom w:val="single" w:sz="4" w:space="0" w:color="7EAADF" w:themeColor="accent1"/>
        </w:tcBorders>
      </w:tcPr>
    </w:tblStylePr>
    <w:tblStylePr w:type="lastRow">
      <w:rPr>
        <w:b/>
        <w:color w:val="285FA3" w:themeColor="accent1" w:themeShade="95"/>
      </w:rPr>
      <w:tblPr/>
      <w:trPr>
        <w:hidden/>
      </w:trPr>
      <w:tcPr>
        <w:tcBorders>
          <w:top w:val="single" w:sz="4" w:space="0" w:color="7EAADF" w:themeColor="accent1"/>
        </w:tcBorders>
      </w:tcPr>
    </w:tblStylePr>
    <w:tblStylePr w:type="firstCol">
      <w:rPr>
        <w:b/>
        <w:color w:val="285FA3" w:themeColor="accent1" w:themeShade="95"/>
      </w:rPr>
    </w:tblStylePr>
    <w:tblStylePr w:type="lastCol">
      <w:rPr>
        <w:b/>
        <w:color w:val="285FA3" w:themeColor="accent1" w:themeShade="95"/>
      </w:rPr>
    </w:tblStylePr>
    <w:tblStylePr w:type="band1Vert">
      <w:tblPr/>
      <w:trPr>
        <w:hidden/>
      </w:trPr>
      <w:tcPr>
        <w:shd w:val="clear" w:color="DEE9F7" w:themeColor="accent1" w:themeTint="40" w:fill="DEE9F7" w:themeFill="accent1" w:themeFillTint="40"/>
      </w:tcPr>
    </w:tblStylePr>
    <w:tblStylePr w:type="band1Horz">
      <w:rPr>
        <w:rFonts w:ascii="Arial" w:hAnsi="Arial"/>
        <w:color w:val="285FA3" w:themeColor="accent1" w:themeShade="95"/>
        <w:sz w:val="22"/>
      </w:rPr>
      <w:tblPr/>
      <w:trPr>
        <w:hidden/>
      </w:trPr>
      <w:tcPr>
        <w:shd w:val="clear" w:color="DEE9F7" w:themeColor="accent1" w:themeTint="40" w:fill="DEE9F7" w:themeFill="accent1" w:themeFillTint="40"/>
      </w:tcPr>
    </w:tblStylePr>
    <w:tblStylePr w:type="band2Horz">
      <w:rPr>
        <w:rFonts w:ascii="Arial" w:hAnsi="Arial"/>
        <w:color w:val="285FA3"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F2ABA9" w:themeColor="accent2" w:themeTint="97"/>
        <w:bottom w:val="single" w:sz="4" w:space="0" w:color="F2ABA9" w:themeColor="accent2" w:themeTint="97"/>
      </w:tblBorders>
      <w:tblCellMar>
        <w:top w:w="0" w:type="dxa"/>
        <w:left w:w="108" w:type="dxa"/>
        <w:bottom w:w="0" w:type="dxa"/>
        <w:right w:w="108" w:type="dxa"/>
      </w:tblCellMar>
    </w:tblPr>
    <w:trPr>
      <w:hidden/>
    </w:trPr>
    <w:tblStylePr w:type="firstRow">
      <w:rPr>
        <w:b/>
        <w:color w:val="F2ABA9" w:themeColor="accent2" w:themeTint="97" w:themeShade="95"/>
      </w:rPr>
      <w:tblPr/>
      <w:trPr>
        <w:hidden/>
      </w:trPr>
      <w:tcPr>
        <w:tcBorders>
          <w:bottom w:val="single" w:sz="4" w:space="0" w:color="F2ABA9" w:themeColor="accent2" w:themeTint="97"/>
        </w:tcBorders>
      </w:tcPr>
    </w:tblStylePr>
    <w:tblStylePr w:type="lastRow">
      <w:rPr>
        <w:b/>
        <w:color w:val="F2ABA9" w:themeColor="accent2" w:themeTint="97" w:themeShade="95"/>
      </w:rPr>
      <w:tblPr/>
      <w:trPr>
        <w:hidden/>
      </w:trPr>
      <w:tcPr>
        <w:tcBorders>
          <w:top w:val="single" w:sz="4" w:space="0" w:color="F2ABA9" w:themeColor="accent2" w:themeTint="97"/>
        </w:tcBorders>
      </w:tcPr>
    </w:tblStylePr>
    <w:tblStylePr w:type="firstCol">
      <w:rPr>
        <w:b/>
        <w:color w:val="F2ABA9" w:themeColor="accent2" w:themeTint="97" w:themeShade="95"/>
      </w:rPr>
    </w:tblStylePr>
    <w:tblStylePr w:type="lastCol">
      <w:rPr>
        <w:b/>
        <w:color w:val="F2ABA9" w:themeColor="accent2" w:themeTint="97" w:themeShade="95"/>
      </w:rPr>
    </w:tblStylePr>
    <w:tblStylePr w:type="band1Vert">
      <w:tblPr/>
      <w:trPr>
        <w:hidden/>
      </w:trPr>
      <w:tcPr>
        <w:shd w:val="clear" w:color="F9DBDA" w:themeColor="accent2" w:themeTint="40" w:fill="F9DBDA" w:themeFill="accent2" w:themeFillTint="40"/>
      </w:tcPr>
    </w:tblStylePr>
    <w:tblStylePr w:type="band1Horz">
      <w:rPr>
        <w:rFonts w:ascii="Arial" w:hAnsi="Arial"/>
        <w:color w:val="F2ABA9" w:themeColor="accent2" w:themeTint="97" w:themeShade="95"/>
        <w:sz w:val="22"/>
      </w:rPr>
      <w:tblPr/>
      <w:trPr>
        <w:hidden/>
      </w:trPr>
      <w:tcPr>
        <w:shd w:val="clear" w:color="F9DBDA" w:themeColor="accent2" w:themeTint="40" w:fill="F9DBDA" w:themeFill="accent2" w:themeFillTint="40"/>
      </w:tcPr>
    </w:tblStylePr>
    <w:tblStylePr w:type="band2Horz">
      <w:rPr>
        <w:rFonts w:ascii="Arial" w:hAnsi="Arial"/>
        <w:color w:val="F2ABA9"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BE7AB" w:themeColor="accent3" w:themeTint="98"/>
        <w:bottom w:val="single" w:sz="4" w:space="0" w:color="CBE7AB" w:themeColor="accent3" w:themeTint="98"/>
      </w:tblBorders>
      <w:tblCellMar>
        <w:top w:w="0" w:type="dxa"/>
        <w:left w:w="108" w:type="dxa"/>
        <w:bottom w:w="0" w:type="dxa"/>
        <w:right w:w="108" w:type="dxa"/>
      </w:tblCellMar>
    </w:tblPr>
    <w:trPr>
      <w:hidden/>
    </w:trPr>
    <w:tblStylePr w:type="firstRow">
      <w:rPr>
        <w:b/>
        <w:color w:val="CBE7AB" w:themeColor="accent3" w:themeTint="98" w:themeShade="95"/>
      </w:rPr>
      <w:tblPr/>
      <w:trPr>
        <w:hidden/>
      </w:trPr>
      <w:tcPr>
        <w:tcBorders>
          <w:bottom w:val="single" w:sz="4" w:space="0" w:color="CBE7AB" w:themeColor="accent3" w:themeTint="98"/>
        </w:tcBorders>
      </w:tcPr>
    </w:tblStylePr>
    <w:tblStylePr w:type="lastRow">
      <w:rPr>
        <w:b/>
        <w:color w:val="CBE7AB" w:themeColor="accent3" w:themeTint="98" w:themeShade="95"/>
      </w:rPr>
      <w:tblPr/>
      <w:trPr>
        <w:hidden/>
      </w:trPr>
      <w:tcPr>
        <w:tcBorders>
          <w:top w:val="single" w:sz="4" w:space="0" w:color="CBE7AB" w:themeColor="accent3" w:themeTint="98"/>
        </w:tcBorders>
      </w:tcPr>
    </w:tblStylePr>
    <w:tblStylePr w:type="firstCol">
      <w:rPr>
        <w:b/>
        <w:color w:val="CBE7AB" w:themeColor="accent3" w:themeTint="98" w:themeShade="95"/>
      </w:rPr>
    </w:tblStylePr>
    <w:tblStylePr w:type="lastCol">
      <w:rPr>
        <w:b/>
        <w:color w:val="CBE7AB" w:themeColor="accent3" w:themeTint="98" w:themeShade="95"/>
      </w:rPr>
    </w:tblStylePr>
    <w:tblStylePr w:type="band1Vert">
      <w:tblPr/>
      <w:trPr>
        <w:hidden/>
      </w:trPr>
      <w:tcPr>
        <w:shd w:val="clear" w:color="E9F5DC" w:themeColor="accent3" w:themeTint="40" w:fill="E9F5DC" w:themeFill="accent3" w:themeFillTint="40"/>
      </w:tcPr>
    </w:tblStylePr>
    <w:tblStylePr w:type="band1Horz">
      <w:rPr>
        <w:rFonts w:ascii="Arial" w:hAnsi="Arial"/>
        <w:color w:val="CBE7AB" w:themeColor="accent3" w:themeTint="98" w:themeShade="95"/>
        <w:sz w:val="22"/>
      </w:rPr>
      <w:tblPr/>
      <w:trPr>
        <w:hidden/>
      </w:trPr>
      <w:tcPr>
        <w:shd w:val="clear" w:color="E9F5DC" w:themeColor="accent3" w:themeTint="40" w:fill="E9F5DC" w:themeFill="accent3" w:themeFillTint="40"/>
      </w:tcPr>
    </w:tblStylePr>
    <w:tblStylePr w:type="band2Horz">
      <w:rPr>
        <w:rFonts w:ascii="Arial" w:hAnsi="Arial"/>
        <w:color w:val="CBE7A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C9B8DE" w:themeColor="accent4" w:themeTint="9A"/>
        <w:bottom w:val="single" w:sz="4" w:space="0" w:color="C9B8DE" w:themeColor="accent4" w:themeTint="9A"/>
      </w:tblBorders>
      <w:tblCellMar>
        <w:top w:w="0" w:type="dxa"/>
        <w:left w:w="108" w:type="dxa"/>
        <w:bottom w:w="0" w:type="dxa"/>
        <w:right w:w="108" w:type="dxa"/>
      </w:tblCellMar>
    </w:tblPr>
    <w:trPr>
      <w:hidden/>
    </w:trPr>
    <w:tblStylePr w:type="firstRow">
      <w:rPr>
        <w:b/>
        <w:color w:val="C9B8DE" w:themeColor="accent4" w:themeTint="9A" w:themeShade="95"/>
      </w:rPr>
      <w:tblPr/>
      <w:trPr>
        <w:hidden/>
      </w:trPr>
      <w:tcPr>
        <w:tcBorders>
          <w:bottom w:val="single" w:sz="4" w:space="0" w:color="C9B8DE" w:themeColor="accent4" w:themeTint="9A"/>
        </w:tcBorders>
      </w:tcPr>
    </w:tblStylePr>
    <w:tblStylePr w:type="lastRow">
      <w:rPr>
        <w:b/>
        <w:color w:val="C9B8DE" w:themeColor="accent4" w:themeTint="9A" w:themeShade="95"/>
      </w:rPr>
      <w:tblPr/>
      <w:trPr>
        <w:hidden/>
      </w:trPr>
      <w:tcPr>
        <w:tcBorders>
          <w:top w:val="single" w:sz="4" w:space="0" w:color="C9B8DE" w:themeColor="accent4" w:themeTint="9A"/>
        </w:tcBorders>
      </w:tcPr>
    </w:tblStylePr>
    <w:tblStylePr w:type="firstCol">
      <w:rPr>
        <w:b/>
        <w:color w:val="C9B8DE" w:themeColor="accent4" w:themeTint="9A" w:themeShade="95"/>
      </w:rPr>
    </w:tblStylePr>
    <w:tblStylePr w:type="lastCol">
      <w:rPr>
        <w:b/>
        <w:color w:val="C9B8DE" w:themeColor="accent4" w:themeTint="9A" w:themeShade="95"/>
      </w:rPr>
    </w:tblStylePr>
    <w:tblStylePr w:type="band1Vert">
      <w:tblPr/>
      <w:trPr>
        <w:hidden/>
      </w:trPr>
      <w:tcPr>
        <w:shd w:val="clear" w:color="E8E1F1" w:themeColor="accent4" w:themeTint="40" w:fill="E8E1F1" w:themeFill="accent4" w:themeFillTint="40"/>
      </w:tcPr>
    </w:tblStylePr>
    <w:tblStylePr w:type="band1Horz">
      <w:rPr>
        <w:rFonts w:ascii="Arial" w:hAnsi="Arial"/>
        <w:color w:val="C9B8DE" w:themeColor="accent4" w:themeTint="9A" w:themeShade="95"/>
        <w:sz w:val="22"/>
      </w:rPr>
      <w:tblPr/>
      <w:trPr>
        <w:hidden/>
      </w:trPr>
      <w:tcPr>
        <w:shd w:val="clear" w:color="E8E1F1" w:themeColor="accent4" w:themeTint="40" w:fill="E8E1F1" w:themeFill="accent4" w:themeFillTint="40"/>
      </w:tcPr>
    </w:tblStylePr>
    <w:tblStylePr w:type="band2Horz">
      <w:rPr>
        <w:rFonts w:ascii="Arial" w:hAnsi="Arial"/>
        <w:color w:val="C9B8DE"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ADDFED" w:themeColor="accent5" w:themeTint="9A"/>
        <w:bottom w:val="single" w:sz="4" w:space="0" w:color="ADDFED" w:themeColor="accent5" w:themeTint="9A"/>
      </w:tblBorders>
      <w:tblCellMar>
        <w:top w:w="0" w:type="dxa"/>
        <w:left w:w="108" w:type="dxa"/>
        <w:bottom w:w="0" w:type="dxa"/>
        <w:right w:w="108" w:type="dxa"/>
      </w:tblCellMar>
    </w:tblPr>
    <w:trPr>
      <w:hidden/>
    </w:trPr>
    <w:tblStylePr w:type="firstRow">
      <w:rPr>
        <w:b/>
        <w:color w:val="ADDFED" w:themeColor="accent5" w:themeTint="9A" w:themeShade="95"/>
      </w:rPr>
      <w:tblPr/>
      <w:trPr>
        <w:hidden/>
      </w:trPr>
      <w:tcPr>
        <w:tcBorders>
          <w:bottom w:val="single" w:sz="4" w:space="0" w:color="ADDFED" w:themeColor="accent5" w:themeTint="9A"/>
        </w:tcBorders>
      </w:tcPr>
    </w:tblStylePr>
    <w:tblStylePr w:type="lastRow">
      <w:rPr>
        <w:b/>
        <w:color w:val="ADDFED" w:themeColor="accent5" w:themeTint="9A" w:themeShade="95"/>
      </w:rPr>
      <w:tblPr/>
      <w:trPr>
        <w:hidden/>
      </w:trPr>
      <w:tcPr>
        <w:tcBorders>
          <w:top w:val="single" w:sz="4" w:space="0" w:color="ADDFED" w:themeColor="accent5" w:themeTint="9A"/>
        </w:tcBorders>
      </w:tcPr>
    </w:tblStylePr>
    <w:tblStylePr w:type="firstCol">
      <w:rPr>
        <w:b/>
        <w:color w:val="ADDFED" w:themeColor="accent5" w:themeTint="9A" w:themeShade="95"/>
      </w:rPr>
    </w:tblStylePr>
    <w:tblStylePr w:type="lastCol">
      <w:rPr>
        <w:b/>
        <w:color w:val="ADDFED" w:themeColor="accent5" w:themeTint="9A" w:themeShade="95"/>
      </w:rPr>
    </w:tblStylePr>
    <w:tblStylePr w:type="band1Vert">
      <w:tblPr/>
      <w:trPr>
        <w:hidden/>
      </w:trPr>
      <w:tcPr>
        <w:shd w:val="clear" w:color="DCF1F7" w:themeColor="accent5" w:themeTint="40" w:fill="DCF1F7" w:themeFill="accent5" w:themeFillTint="40"/>
      </w:tcPr>
    </w:tblStylePr>
    <w:tblStylePr w:type="band1Horz">
      <w:rPr>
        <w:rFonts w:ascii="Arial" w:hAnsi="Arial"/>
        <w:color w:val="ADDFED" w:themeColor="accent5" w:themeTint="9A" w:themeShade="95"/>
        <w:sz w:val="22"/>
      </w:rPr>
      <w:tblPr/>
      <w:trPr>
        <w:hidden/>
      </w:trPr>
      <w:tcPr>
        <w:shd w:val="clear" w:color="DCF1F7" w:themeColor="accent5" w:themeTint="40" w:fill="DCF1F7" w:themeFill="accent5" w:themeFillTint="40"/>
      </w:tcPr>
    </w:tblStylePr>
    <w:tblStylePr w:type="band2Horz">
      <w:rPr>
        <w:rFonts w:ascii="Arial" w:hAnsi="Arial"/>
        <w:color w:val="ADDFED"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DD8BA" w:themeColor="accent6" w:themeTint="98"/>
        <w:bottom w:val="single" w:sz="4" w:space="0" w:color="FDD8BA" w:themeColor="accent6" w:themeTint="98"/>
      </w:tblBorders>
      <w:tblCellMar>
        <w:top w:w="0" w:type="dxa"/>
        <w:left w:w="108" w:type="dxa"/>
        <w:bottom w:w="0" w:type="dxa"/>
        <w:right w:w="108" w:type="dxa"/>
      </w:tblCellMar>
    </w:tblPr>
    <w:trPr>
      <w:hidden/>
    </w:trPr>
    <w:tblStylePr w:type="firstRow">
      <w:rPr>
        <w:b/>
        <w:color w:val="FDD8BA" w:themeColor="accent6" w:themeTint="98" w:themeShade="95"/>
      </w:rPr>
      <w:tblPr/>
      <w:trPr>
        <w:hidden/>
      </w:trPr>
      <w:tcPr>
        <w:tcBorders>
          <w:bottom w:val="single" w:sz="4" w:space="0" w:color="FDD8BA" w:themeColor="accent6" w:themeTint="98"/>
        </w:tcBorders>
      </w:tcPr>
    </w:tblStylePr>
    <w:tblStylePr w:type="lastRow">
      <w:rPr>
        <w:b/>
        <w:color w:val="FDD8BA" w:themeColor="accent6" w:themeTint="98" w:themeShade="95"/>
      </w:rPr>
      <w:tblPr/>
      <w:trPr>
        <w:hidden/>
      </w:trPr>
      <w:tcPr>
        <w:tcBorders>
          <w:top w:val="single" w:sz="4" w:space="0" w:color="FDD8BA" w:themeColor="accent6" w:themeTint="98"/>
        </w:tcBorders>
      </w:tcPr>
    </w:tblStylePr>
    <w:tblStylePr w:type="firstCol">
      <w:rPr>
        <w:b/>
        <w:color w:val="FDD8BA" w:themeColor="accent6" w:themeTint="98" w:themeShade="95"/>
      </w:rPr>
    </w:tblStylePr>
    <w:tblStylePr w:type="lastCol">
      <w:rPr>
        <w:b/>
        <w:color w:val="FDD8BA" w:themeColor="accent6" w:themeTint="98" w:themeShade="95"/>
      </w:rPr>
    </w:tblStylePr>
    <w:tblStylePr w:type="band1Vert">
      <w:tblPr/>
      <w:trPr>
        <w:hidden/>
      </w:trPr>
      <w:tcPr>
        <w:shd w:val="clear" w:color="FEEEE2" w:themeColor="accent6" w:themeTint="40" w:fill="FEEEE2" w:themeFill="accent6" w:themeFillTint="40"/>
      </w:tcPr>
    </w:tblStylePr>
    <w:tblStylePr w:type="band1Horz">
      <w:rPr>
        <w:rFonts w:ascii="Arial" w:hAnsi="Arial"/>
        <w:color w:val="FDD8BA" w:themeColor="accent6" w:themeTint="98" w:themeShade="95"/>
        <w:sz w:val="22"/>
      </w:rPr>
      <w:tblPr/>
      <w:trPr>
        <w:hidden/>
      </w:trPr>
      <w:tcPr>
        <w:shd w:val="clear" w:color="FEEEE2" w:themeColor="accent6" w:themeTint="40" w:fill="FEEEE2" w:themeFill="accent6" w:themeFillTint="40"/>
      </w:tcPr>
    </w:tblStylePr>
    <w:tblStylePr w:type="band2Horz">
      <w:rPr>
        <w:rFonts w:ascii="Arial" w:hAnsi="Arial"/>
        <w:color w:val="FDD8BA"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rPr>
      <w:hidden/>
    </w:trPr>
    <w:tblStylePr w:type="firstRow">
      <w:rPr>
        <w:rFonts w:ascii="Arial" w:hAnsi="Arial"/>
        <w:i/>
        <w:color w:val="7F7F7F" w:themeColor="text1" w:themeTint="80" w:themeShade="95"/>
        <w:sz w:val="22"/>
      </w:rPr>
      <w:tblPr/>
      <w:trPr>
        <w:hidden/>
      </w:tr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rPr>
        <w:hidden/>
      </w:tr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rPr>
        <w:hidden/>
      </w:tr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rPr>
        <w:hidden/>
      </w:tr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rPr>
        <w:hidden/>
      </w:tr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rPr>
        <w:hidden/>
      </w:tr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7EAADF" w:themeColor="accent1"/>
      </w:tblBorders>
      <w:tblCellMar>
        <w:top w:w="0" w:type="dxa"/>
        <w:left w:w="108" w:type="dxa"/>
        <w:bottom w:w="0" w:type="dxa"/>
        <w:right w:w="108" w:type="dxa"/>
      </w:tblCellMar>
    </w:tblPr>
    <w:trPr>
      <w:hidden/>
    </w:trPr>
    <w:tblStylePr w:type="firstRow">
      <w:rPr>
        <w:rFonts w:ascii="Arial" w:hAnsi="Arial"/>
        <w:i/>
        <w:color w:val="285FA3" w:themeColor="accent1" w:themeShade="95"/>
        <w:sz w:val="22"/>
      </w:rPr>
      <w:tblPr/>
      <w:trPr>
        <w:hidden/>
      </w:trPr>
      <w:tcPr>
        <w:tcBorders>
          <w:top w:val="none" w:sz="4" w:space="0" w:color="000000"/>
          <w:left w:val="none" w:sz="4" w:space="0" w:color="000000"/>
          <w:bottom w:val="single" w:sz="4" w:space="0" w:color="7EAADF" w:themeColor="accent1"/>
          <w:right w:val="none" w:sz="4" w:space="0" w:color="000000"/>
        </w:tcBorders>
        <w:shd w:val="clear" w:color="FFFFFF" w:themeColor="light1" w:fill="FFFFFF" w:themeFill="light1"/>
      </w:tcPr>
    </w:tblStylePr>
    <w:tblStylePr w:type="lastRow">
      <w:rPr>
        <w:rFonts w:ascii="Arial" w:hAnsi="Arial"/>
        <w:i/>
        <w:color w:val="285FA3" w:themeColor="accent1" w:themeShade="95"/>
        <w:sz w:val="22"/>
      </w:rPr>
      <w:tblPr/>
      <w:trPr>
        <w:hidden/>
      </w:trPr>
      <w:tcPr>
        <w:tcBorders>
          <w:top w:val="single" w:sz="4" w:space="0" w:color="7EAADF"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85FA3" w:themeColor="accent1" w:themeShade="95"/>
        <w:sz w:val="22"/>
      </w:rPr>
      <w:tblPr/>
      <w:trPr>
        <w:hidden/>
      </w:trPr>
      <w:tcPr>
        <w:tcBorders>
          <w:top w:val="none" w:sz="4" w:space="0" w:color="000000"/>
          <w:left w:val="none" w:sz="4" w:space="0" w:color="000000"/>
          <w:bottom w:val="none" w:sz="4" w:space="0" w:color="000000"/>
          <w:right w:val="single" w:sz="4" w:space="0" w:color="7EAADF" w:themeColor="accent1"/>
        </w:tcBorders>
        <w:shd w:val="clear" w:color="FFFFFF" w:fill="auto"/>
      </w:tcPr>
    </w:tblStylePr>
    <w:tblStylePr w:type="lastCol">
      <w:rPr>
        <w:rFonts w:ascii="Arial" w:hAnsi="Arial"/>
        <w:i/>
        <w:color w:val="285FA3" w:themeColor="accent1" w:themeShade="95"/>
        <w:sz w:val="22"/>
      </w:rPr>
      <w:tblPr/>
      <w:trPr>
        <w:hidden/>
      </w:trPr>
      <w:tcPr>
        <w:tcBorders>
          <w:top w:val="none" w:sz="4" w:space="0" w:color="000000"/>
          <w:left w:val="single" w:sz="4" w:space="0" w:color="7EAADF" w:themeColor="accent1"/>
          <w:bottom w:val="none" w:sz="4" w:space="0" w:color="000000"/>
          <w:right w:val="none" w:sz="4" w:space="0" w:color="000000"/>
        </w:tcBorders>
        <w:shd w:val="clear" w:color="FFFFFF" w:fill="auto"/>
      </w:tcPr>
    </w:tblStylePr>
    <w:tblStylePr w:type="band1Vert">
      <w:tblPr/>
      <w:trPr>
        <w:hidden/>
      </w:trPr>
      <w:tcPr>
        <w:shd w:val="clear" w:color="DEE9F7" w:themeColor="accent1" w:themeTint="40" w:fill="DEE9F7" w:themeFill="accent1" w:themeFillTint="40"/>
      </w:tcPr>
    </w:tblStylePr>
    <w:tblStylePr w:type="band1Horz">
      <w:rPr>
        <w:rFonts w:ascii="Arial" w:hAnsi="Arial"/>
        <w:color w:val="285FA3" w:themeColor="accent1" w:themeShade="95"/>
        <w:sz w:val="22"/>
      </w:rPr>
      <w:tblPr/>
      <w:trPr>
        <w:hidden/>
      </w:trPr>
      <w:tcPr>
        <w:shd w:val="clear" w:color="DEE9F7" w:themeColor="accent1" w:themeTint="40" w:fill="DEE9F7" w:themeFill="accent1" w:themeFillTint="40"/>
      </w:tcPr>
    </w:tblStylePr>
    <w:tblStylePr w:type="band2Horz">
      <w:rPr>
        <w:rFonts w:ascii="Arial" w:hAnsi="Arial"/>
        <w:color w:val="285FA3"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F2ABA9" w:themeColor="accent2" w:themeTint="97"/>
      </w:tblBorders>
      <w:tblCellMar>
        <w:top w:w="0" w:type="dxa"/>
        <w:left w:w="108" w:type="dxa"/>
        <w:bottom w:w="0" w:type="dxa"/>
        <w:right w:w="108" w:type="dxa"/>
      </w:tblCellMar>
    </w:tblPr>
    <w:trPr>
      <w:hidden/>
    </w:trPr>
    <w:tblStylePr w:type="firstRow">
      <w:rPr>
        <w:rFonts w:ascii="Arial" w:hAnsi="Arial"/>
        <w:i/>
        <w:color w:val="F2ABA9" w:themeColor="accent2" w:themeTint="97" w:themeShade="95"/>
        <w:sz w:val="22"/>
      </w:rPr>
      <w:tblPr/>
      <w:trPr>
        <w:hidden/>
      </w:trPr>
      <w:tcPr>
        <w:tcBorders>
          <w:top w:val="none" w:sz="4" w:space="0" w:color="000000"/>
          <w:left w:val="none" w:sz="4" w:space="0" w:color="000000"/>
          <w:bottom w:val="single" w:sz="4" w:space="0" w:color="F2ABA9" w:themeColor="accent2" w:themeTint="97"/>
          <w:right w:val="none" w:sz="4" w:space="0" w:color="000000"/>
        </w:tcBorders>
        <w:shd w:val="clear" w:color="FFFFFF" w:themeColor="light1" w:fill="FFFFFF" w:themeFill="light1"/>
      </w:tcPr>
    </w:tblStylePr>
    <w:tblStylePr w:type="lastRow">
      <w:rPr>
        <w:rFonts w:ascii="Arial" w:hAnsi="Arial"/>
        <w:i/>
        <w:color w:val="F2ABA9" w:themeColor="accent2" w:themeTint="97" w:themeShade="95"/>
        <w:sz w:val="22"/>
      </w:rPr>
      <w:tblPr/>
      <w:trPr>
        <w:hidden/>
      </w:trPr>
      <w:tcPr>
        <w:tcBorders>
          <w:top w:val="single" w:sz="4" w:space="0" w:color="F2ABA9"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BA9" w:themeColor="accent2" w:themeTint="97" w:themeShade="95"/>
        <w:sz w:val="22"/>
      </w:rPr>
      <w:tblPr/>
      <w:trPr>
        <w:hidden/>
      </w:trPr>
      <w:tcPr>
        <w:tcBorders>
          <w:top w:val="none" w:sz="4" w:space="0" w:color="000000"/>
          <w:left w:val="none" w:sz="4" w:space="0" w:color="000000"/>
          <w:bottom w:val="none" w:sz="4" w:space="0" w:color="000000"/>
          <w:right w:val="single" w:sz="4" w:space="0" w:color="F2ABA9" w:themeColor="accent2" w:themeTint="97"/>
        </w:tcBorders>
        <w:shd w:val="clear" w:color="FFFFFF" w:fill="auto"/>
      </w:tcPr>
    </w:tblStylePr>
    <w:tblStylePr w:type="lastCol">
      <w:rPr>
        <w:rFonts w:ascii="Arial" w:hAnsi="Arial"/>
        <w:i/>
        <w:color w:val="F2ABA9" w:themeColor="accent2" w:themeTint="97" w:themeShade="95"/>
        <w:sz w:val="22"/>
      </w:rPr>
      <w:tblPr/>
      <w:trPr>
        <w:hidden/>
      </w:trPr>
      <w:tcPr>
        <w:tcBorders>
          <w:top w:val="none" w:sz="4" w:space="0" w:color="000000"/>
          <w:left w:val="single" w:sz="4" w:space="0" w:color="F2ABA9" w:themeColor="accent2" w:themeTint="97"/>
          <w:bottom w:val="none" w:sz="4" w:space="0" w:color="000000"/>
          <w:right w:val="none" w:sz="4" w:space="0" w:color="000000"/>
        </w:tcBorders>
        <w:shd w:val="clear" w:color="FFFFFF" w:fill="auto"/>
      </w:tcPr>
    </w:tblStylePr>
    <w:tblStylePr w:type="band1Vert">
      <w:tblPr/>
      <w:trPr>
        <w:hidden/>
      </w:trPr>
      <w:tcPr>
        <w:shd w:val="clear" w:color="F9DBDA" w:themeColor="accent2" w:themeTint="40" w:fill="F9DBDA" w:themeFill="accent2" w:themeFillTint="40"/>
      </w:tcPr>
    </w:tblStylePr>
    <w:tblStylePr w:type="band1Horz">
      <w:rPr>
        <w:rFonts w:ascii="Arial" w:hAnsi="Arial"/>
        <w:color w:val="F2ABA9" w:themeColor="accent2" w:themeTint="97" w:themeShade="95"/>
        <w:sz w:val="22"/>
      </w:rPr>
      <w:tblPr/>
      <w:trPr>
        <w:hidden/>
      </w:trPr>
      <w:tcPr>
        <w:shd w:val="clear" w:color="F9DBDA" w:themeColor="accent2" w:themeTint="40" w:fill="F9DBDA" w:themeFill="accent2" w:themeFillTint="40"/>
      </w:tcPr>
    </w:tblStylePr>
    <w:tblStylePr w:type="band2Horz">
      <w:rPr>
        <w:rFonts w:ascii="Arial" w:hAnsi="Arial"/>
        <w:color w:val="F2ABA9"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BE7AB" w:themeColor="accent3" w:themeTint="98"/>
      </w:tblBorders>
      <w:tblCellMar>
        <w:top w:w="0" w:type="dxa"/>
        <w:left w:w="108" w:type="dxa"/>
        <w:bottom w:w="0" w:type="dxa"/>
        <w:right w:w="108" w:type="dxa"/>
      </w:tblCellMar>
    </w:tblPr>
    <w:trPr>
      <w:hidden/>
    </w:trPr>
    <w:tblStylePr w:type="firstRow">
      <w:rPr>
        <w:rFonts w:ascii="Arial" w:hAnsi="Arial"/>
        <w:i/>
        <w:color w:val="CBE7AB" w:themeColor="accent3" w:themeTint="98" w:themeShade="95"/>
        <w:sz w:val="22"/>
      </w:rPr>
      <w:tblPr/>
      <w:trPr>
        <w:hidden/>
      </w:trPr>
      <w:tcPr>
        <w:tcBorders>
          <w:top w:val="none" w:sz="4" w:space="0" w:color="000000"/>
          <w:left w:val="none" w:sz="4" w:space="0" w:color="000000"/>
          <w:bottom w:val="single" w:sz="4" w:space="0" w:color="CBE7AB" w:themeColor="accent3" w:themeTint="98"/>
          <w:right w:val="none" w:sz="4" w:space="0" w:color="000000"/>
        </w:tcBorders>
        <w:shd w:val="clear" w:color="FFFFFF" w:themeColor="light1" w:fill="FFFFFF" w:themeFill="light1"/>
      </w:tcPr>
    </w:tblStylePr>
    <w:tblStylePr w:type="lastRow">
      <w:rPr>
        <w:rFonts w:ascii="Arial" w:hAnsi="Arial"/>
        <w:i/>
        <w:color w:val="CBE7AB" w:themeColor="accent3" w:themeTint="98" w:themeShade="95"/>
        <w:sz w:val="22"/>
      </w:rPr>
      <w:tblPr/>
      <w:trPr>
        <w:hidden/>
      </w:trPr>
      <w:tcPr>
        <w:tcBorders>
          <w:top w:val="single" w:sz="4" w:space="0" w:color="CBE7A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BE7AB" w:themeColor="accent3" w:themeTint="98" w:themeShade="95"/>
        <w:sz w:val="22"/>
      </w:rPr>
      <w:tblPr/>
      <w:trPr>
        <w:hidden/>
      </w:trPr>
      <w:tcPr>
        <w:tcBorders>
          <w:top w:val="none" w:sz="4" w:space="0" w:color="000000"/>
          <w:left w:val="none" w:sz="4" w:space="0" w:color="000000"/>
          <w:bottom w:val="none" w:sz="4" w:space="0" w:color="000000"/>
          <w:right w:val="single" w:sz="4" w:space="0" w:color="CBE7AB" w:themeColor="accent3" w:themeTint="98"/>
        </w:tcBorders>
        <w:shd w:val="clear" w:color="FFFFFF" w:fill="auto"/>
      </w:tcPr>
    </w:tblStylePr>
    <w:tblStylePr w:type="lastCol">
      <w:rPr>
        <w:rFonts w:ascii="Arial" w:hAnsi="Arial"/>
        <w:i/>
        <w:color w:val="CBE7AB" w:themeColor="accent3" w:themeTint="98" w:themeShade="95"/>
        <w:sz w:val="22"/>
      </w:rPr>
      <w:tblPr/>
      <w:trPr>
        <w:hidden/>
      </w:trPr>
      <w:tcPr>
        <w:tcBorders>
          <w:top w:val="none" w:sz="4" w:space="0" w:color="000000"/>
          <w:left w:val="single" w:sz="4" w:space="0" w:color="CBE7AB" w:themeColor="accent3" w:themeTint="98"/>
          <w:bottom w:val="none" w:sz="4" w:space="0" w:color="000000"/>
          <w:right w:val="none" w:sz="4" w:space="0" w:color="000000"/>
        </w:tcBorders>
        <w:shd w:val="clear" w:color="FFFFFF" w:fill="auto"/>
      </w:tcPr>
    </w:tblStylePr>
    <w:tblStylePr w:type="band1Vert">
      <w:tblPr/>
      <w:trPr>
        <w:hidden/>
      </w:trPr>
      <w:tcPr>
        <w:shd w:val="clear" w:color="E9F5DC" w:themeColor="accent3" w:themeTint="40" w:fill="E9F5DC" w:themeFill="accent3" w:themeFillTint="40"/>
      </w:tcPr>
    </w:tblStylePr>
    <w:tblStylePr w:type="band1Horz">
      <w:rPr>
        <w:rFonts w:ascii="Arial" w:hAnsi="Arial"/>
        <w:color w:val="CBE7AB" w:themeColor="accent3" w:themeTint="98" w:themeShade="95"/>
        <w:sz w:val="22"/>
      </w:rPr>
      <w:tblPr/>
      <w:trPr>
        <w:hidden/>
      </w:trPr>
      <w:tcPr>
        <w:shd w:val="clear" w:color="E9F5DC" w:themeColor="accent3" w:themeTint="40" w:fill="E9F5DC" w:themeFill="accent3" w:themeFillTint="40"/>
      </w:tcPr>
    </w:tblStylePr>
    <w:tblStylePr w:type="band2Horz">
      <w:rPr>
        <w:rFonts w:ascii="Arial" w:hAnsi="Arial"/>
        <w:color w:val="CBE7A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C9B8DE" w:themeColor="accent4" w:themeTint="9A"/>
      </w:tblBorders>
      <w:tblCellMar>
        <w:top w:w="0" w:type="dxa"/>
        <w:left w:w="108" w:type="dxa"/>
        <w:bottom w:w="0" w:type="dxa"/>
        <w:right w:w="108" w:type="dxa"/>
      </w:tblCellMar>
    </w:tblPr>
    <w:trPr>
      <w:hidden/>
    </w:trPr>
    <w:tblStylePr w:type="firstRow">
      <w:rPr>
        <w:rFonts w:ascii="Arial" w:hAnsi="Arial"/>
        <w:i/>
        <w:color w:val="C9B8DE" w:themeColor="accent4" w:themeTint="9A" w:themeShade="95"/>
        <w:sz w:val="22"/>
      </w:rPr>
      <w:tblPr/>
      <w:trPr>
        <w:hidden/>
      </w:trPr>
      <w:tcPr>
        <w:tcBorders>
          <w:top w:val="none" w:sz="4" w:space="0" w:color="000000"/>
          <w:left w:val="none" w:sz="4" w:space="0" w:color="000000"/>
          <w:bottom w:val="single" w:sz="4" w:space="0" w:color="C9B8DE" w:themeColor="accent4" w:themeTint="9A"/>
          <w:right w:val="none" w:sz="4" w:space="0" w:color="000000"/>
        </w:tcBorders>
        <w:shd w:val="clear" w:color="FFFFFF" w:themeColor="light1" w:fill="FFFFFF" w:themeFill="light1"/>
      </w:tcPr>
    </w:tblStylePr>
    <w:tblStylePr w:type="lastRow">
      <w:rPr>
        <w:rFonts w:ascii="Arial" w:hAnsi="Arial"/>
        <w:i/>
        <w:color w:val="C9B8DE" w:themeColor="accent4" w:themeTint="9A" w:themeShade="95"/>
        <w:sz w:val="22"/>
      </w:rPr>
      <w:tblPr/>
      <w:trPr>
        <w:hidden/>
      </w:trPr>
      <w:tcPr>
        <w:tcBorders>
          <w:top w:val="single" w:sz="4" w:space="0" w:color="C9B8DE"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B8DE" w:themeColor="accent4" w:themeTint="9A" w:themeShade="95"/>
        <w:sz w:val="22"/>
      </w:rPr>
      <w:tblPr/>
      <w:trPr>
        <w:hidden/>
      </w:trPr>
      <w:tcPr>
        <w:tcBorders>
          <w:top w:val="none" w:sz="4" w:space="0" w:color="000000"/>
          <w:left w:val="none" w:sz="4" w:space="0" w:color="000000"/>
          <w:bottom w:val="none" w:sz="4" w:space="0" w:color="000000"/>
          <w:right w:val="single" w:sz="4" w:space="0" w:color="C9B8DE" w:themeColor="accent4" w:themeTint="9A"/>
        </w:tcBorders>
        <w:shd w:val="clear" w:color="FFFFFF" w:fill="auto"/>
      </w:tcPr>
    </w:tblStylePr>
    <w:tblStylePr w:type="lastCol">
      <w:rPr>
        <w:rFonts w:ascii="Arial" w:hAnsi="Arial"/>
        <w:i/>
        <w:color w:val="C9B8DE" w:themeColor="accent4" w:themeTint="9A" w:themeShade="95"/>
        <w:sz w:val="22"/>
      </w:rPr>
      <w:tblPr/>
      <w:trPr>
        <w:hidden/>
      </w:trPr>
      <w:tcPr>
        <w:tcBorders>
          <w:top w:val="none" w:sz="4" w:space="0" w:color="000000"/>
          <w:left w:val="single" w:sz="4" w:space="0" w:color="C9B8DE" w:themeColor="accent4" w:themeTint="9A"/>
          <w:bottom w:val="none" w:sz="4" w:space="0" w:color="000000"/>
          <w:right w:val="none" w:sz="4" w:space="0" w:color="000000"/>
        </w:tcBorders>
        <w:shd w:val="clear" w:color="FFFFFF" w:fill="auto"/>
      </w:tcPr>
    </w:tblStylePr>
    <w:tblStylePr w:type="band1Vert">
      <w:tblPr/>
      <w:trPr>
        <w:hidden/>
      </w:trPr>
      <w:tcPr>
        <w:shd w:val="clear" w:color="E8E1F1" w:themeColor="accent4" w:themeTint="40" w:fill="E8E1F1" w:themeFill="accent4" w:themeFillTint="40"/>
      </w:tcPr>
    </w:tblStylePr>
    <w:tblStylePr w:type="band1Horz">
      <w:rPr>
        <w:rFonts w:ascii="Arial" w:hAnsi="Arial"/>
        <w:color w:val="C9B8DE" w:themeColor="accent4" w:themeTint="9A" w:themeShade="95"/>
        <w:sz w:val="22"/>
      </w:rPr>
      <w:tblPr/>
      <w:trPr>
        <w:hidden/>
      </w:trPr>
      <w:tcPr>
        <w:shd w:val="clear" w:color="E8E1F1" w:themeColor="accent4" w:themeTint="40" w:fill="E8E1F1" w:themeFill="accent4" w:themeFillTint="40"/>
      </w:tcPr>
    </w:tblStylePr>
    <w:tblStylePr w:type="band2Horz">
      <w:rPr>
        <w:rFonts w:ascii="Arial" w:hAnsi="Arial"/>
        <w:color w:val="C9B8DE"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ADDFED" w:themeColor="accent5" w:themeTint="9A"/>
      </w:tblBorders>
      <w:tblCellMar>
        <w:top w:w="0" w:type="dxa"/>
        <w:left w:w="108" w:type="dxa"/>
        <w:bottom w:w="0" w:type="dxa"/>
        <w:right w:w="108" w:type="dxa"/>
      </w:tblCellMar>
    </w:tblPr>
    <w:trPr>
      <w:hidden/>
    </w:trPr>
    <w:tblStylePr w:type="firstRow">
      <w:rPr>
        <w:rFonts w:ascii="Arial" w:hAnsi="Arial"/>
        <w:i/>
        <w:color w:val="ADDFED" w:themeColor="accent5" w:themeTint="9A" w:themeShade="95"/>
        <w:sz w:val="22"/>
      </w:rPr>
      <w:tblPr/>
      <w:trPr>
        <w:hidden/>
      </w:trPr>
      <w:tcPr>
        <w:tcBorders>
          <w:top w:val="none" w:sz="4" w:space="0" w:color="000000"/>
          <w:left w:val="none" w:sz="4" w:space="0" w:color="000000"/>
          <w:bottom w:val="single" w:sz="4" w:space="0" w:color="ADDFED" w:themeColor="accent5" w:themeTint="9A"/>
          <w:right w:val="none" w:sz="4" w:space="0" w:color="000000"/>
        </w:tcBorders>
        <w:shd w:val="clear" w:color="FFFFFF" w:themeColor="light1" w:fill="FFFFFF" w:themeFill="light1"/>
      </w:tcPr>
    </w:tblStylePr>
    <w:tblStylePr w:type="lastRow">
      <w:rPr>
        <w:rFonts w:ascii="Arial" w:hAnsi="Arial"/>
        <w:i/>
        <w:color w:val="ADDFED" w:themeColor="accent5" w:themeTint="9A" w:themeShade="95"/>
        <w:sz w:val="22"/>
      </w:rPr>
      <w:tblPr/>
      <w:trPr>
        <w:hidden/>
      </w:trPr>
      <w:tcPr>
        <w:tcBorders>
          <w:top w:val="single" w:sz="4" w:space="0" w:color="ADDFED"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DDFED" w:themeColor="accent5" w:themeTint="9A" w:themeShade="95"/>
        <w:sz w:val="22"/>
      </w:rPr>
      <w:tblPr/>
      <w:trPr>
        <w:hidden/>
      </w:trPr>
      <w:tcPr>
        <w:tcBorders>
          <w:top w:val="none" w:sz="4" w:space="0" w:color="000000"/>
          <w:left w:val="none" w:sz="4" w:space="0" w:color="000000"/>
          <w:bottom w:val="none" w:sz="4" w:space="0" w:color="000000"/>
          <w:right w:val="single" w:sz="4" w:space="0" w:color="ADDFED" w:themeColor="accent5" w:themeTint="9A"/>
        </w:tcBorders>
        <w:shd w:val="clear" w:color="FFFFFF" w:fill="auto"/>
      </w:tcPr>
    </w:tblStylePr>
    <w:tblStylePr w:type="lastCol">
      <w:rPr>
        <w:rFonts w:ascii="Arial" w:hAnsi="Arial"/>
        <w:i/>
        <w:color w:val="ADDFED" w:themeColor="accent5" w:themeTint="9A" w:themeShade="95"/>
        <w:sz w:val="22"/>
      </w:rPr>
      <w:tblPr/>
      <w:trPr>
        <w:hidden/>
      </w:trPr>
      <w:tcPr>
        <w:tcBorders>
          <w:top w:val="none" w:sz="4" w:space="0" w:color="000000"/>
          <w:left w:val="single" w:sz="4" w:space="0" w:color="ADDFED" w:themeColor="accent5" w:themeTint="9A"/>
          <w:bottom w:val="none" w:sz="4" w:space="0" w:color="000000"/>
          <w:right w:val="none" w:sz="4" w:space="0" w:color="000000"/>
        </w:tcBorders>
        <w:shd w:val="clear" w:color="FFFFFF" w:fill="auto"/>
      </w:tcPr>
    </w:tblStylePr>
    <w:tblStylePr w:type="band1Vert">
      <w:tblPr/>
      <w:trPr>
        <w:hidden/>
      </w:trPr>
      <w:tcPr>
        <w:shd w:val="clear" w:color="DCF1F7" w:themeColor="accent5" w:themeTint="40" w:fill="DCF1F7" w:themeFill="accent5" w:themeFillTint="40"/>
      </w:tcPr>
    </w:tblStylePr>
    <w:tblStylePr w:type="band1Horz">
      <w:rPr>
        <w:rFonts w:ascii="Arial" w:hAnsi="Arial"/>
        <w:color w:val="ADDFED" w:themeColor="accent5" w:themeTint="9A" w:themeShade="95"/>
        <w:sz w:val="22"/>
      </w:rPr>
      <w:tblPr/>
      <w:trPr>
        <w:hidden/>
      </w:trPr>
      <w:tcPr>
        <w:shd w:val="clear" w:color="DCF1F7" w:themeColor="accent5" w:themeTint="40" w:fill="DCF1F7" w:themeFill="accent5" w:themeFillTint="40"/>
      </w:tcPr>
    </w:tblStylePr>
    <w:tblStylePr w:type="band2Horz">
      <w:rPr>
        <w:rFonts w:ascii="Arial" w:hAnsi="Arial"/>
        <w:color w:val="ADDFED"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DD8BA" w:themeColor="accent6" w:themeTint="98"/>
      </w:tblBorders>
      <w:tblCellMar>
        <w:top w:w="0" w:type="dxa"/>
        <w:left w:w="108" w:type="dxa"/>
        <w:bottom w:w="0" w:type="dxa"/>
        <w:right w:w="108" w:type="dxa"/>
      </w:tblCellMar>
    </w:tblPr>
    <w:trPr>
      <w:hidden/>
    </w:trPr>
    <w:tblStylePr w:type="firstRow">
      <w:rPr>
        <w:rFonts w:ascii="Arial" w:hAnsi="Arial"/>
        <w:i/>
        <w:color w:val="FDD8BA" w:themeColor="accent6" w:themeTint="98" w:themeShade="95"/>
        <w:sz w:val="22"/>
      </w:rPr>
      <w:tblPr/>
      <w:trPr>
        <w:hidden/>
      </w:trPr>
      <w:tcPr>
        <w:tcBorders>
          <w:top w:val="none" w:sz="4" w:space="0" w:color="000000"/>
          <w:left w:val="none" w:sz="4" w:space="0" w:color="000000"/>
          <w:bottom w:val="single" w:sz="4" w:space="0" w:color="FDD8BA" w:themeColor="accent6" w:themeTint="98"/>
          <w:right w:val="none" w:sz="4" w:space="0" w:color="000000"/>
        </w:tcBorders>
        <w:shd w:val="clear" w:color="FFFFFF" w:themeColor="light1" w:fill="FFFFFF" w:themeFill="light1"/>
      </w:tcPr>
    </w:tblStylePr>
    <w:tblStylePr w:type="lastRow">
      <w:rPr>
        <w:rFonts w:ascii="Arial" w:hAnsi="Arial"/>
        <w:i/>
        <w:color w:val="FDD8BA" w:themeColor="accent6" w:themeTint="98" w:themeShade="95"/>
        <w:sz w:val="22"/>
      </w:rPr>
      <w:tblPr/>
      <w:trPr>
        <w:hidden/>
      </w:trPr>
      <w:tcPr>
        <w:tcBorders>
          <w:top w:val="single" w:sz="4" w:space="0" w:color="FDD8BA"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DD8BA" w:themeColor="accent6" w:themeTint="98" w:themeShade="95"/>
        <w:sz w:val="22"/>
      </w:rPr>
      <w:tblPr/>
      <w:trPr>
        <w:hidden/>
      </w:trPr>
      <w:tcPr>
        <w:tcBorders>
          <w:top w:val="none" w:sz="4" w:space="0" w:color="000000"/>
          <w:left w:val="none" w:sz="4" w:space="0" w:color="000000"/>
          <w:bottom w:val="none" w:sz="4" w:space="0" w:color="000000"/>
          <w:right w:val="single" w:sz="4" w:space="0" w:color="FDD8BA" w:themeColor="accent6" w:themeTint="98"/>
        </w:tcBorders>
        <w:shd w:val="clear" w:color="FFFFFF" w:fill="auto"/>
      </w:tcPr>
    </w:tblStylePr>
    <w:tblStylePr w:type="lastCol">
      <w:rPr>
        <w:rFonts w:ascii="Arial" w:hAnsi="Arial"/>
        <w:i/>
        <w:color w:val="FDD8BA" w:themeColor="accent6" w:themeTint="98" w:themeShade="95"/>
        <w:sz w:val="22"/>
      </w:rPr>
      <w:tblPr/>
      <w:trPr>
        <w:hidden/>
      </w:trPr>
      <w:tcPr>
        <w:tcBorders>
          <w:top w:val="none" w:sz="4" w:space="0" w:color="000000"/>
          <w:left w:val="single" w:sz="4" w:space="0" w:color="FDD8BA" w:themeColor="accent6" w:themeTint="98"/>
          <w:bottom w:val="none" w:sz="4" w:space="0" w:color="000000"/>
          <w:right w:val="none" w:sz="4" w:space="0" w:color="000000"/>
        </w:tcBorders>
        <w:shd w:val="clear" w:color="FFFFFF" w:fill="auto"/>
      </w:tcPr>
    </w:tblStylePr>
    <w:tblStylePr w:type="band1Vert">
      <w:tblPr/>
      <w:trPr>
        <w:hidden/>
      </w:trPr>
      <w:tcPr>
        <w:shd w:val="clear" w:color="FEEEE2" w:themeColor="accent6" w:themeTint="40" w:fill="FEEEE2" w:themeFill="accent6" w:themeFillTint="40"/>
      </w:tcPr>
    </w:tblStylePr>
    <w:tblStylePr w:type="band1Horz">
      <w:rPr>
        <w:rFonts w:ascii="Arial" w:hAnsi="Arial"/>
        <w:color w:val="FDD8BA" w:themeColor="accent6" w:themeTint="98" w:themeShade="95"/>
        <w:sz w:val="22"/>
      </w:rPr>
      <w:tblPr/>
      <w:trPr>
        <w:hidden/>
      </w:trPr>
      <w:tcPr>
        <w:shd w:val="clear" w:color="FEEEE2" w:themeColor="accent6" w:themeTint="40" w:fill="FEEEE2" w:themeFill="accent6" w:themeFillTint="40"/>
      </w:tcPr>
    </w:tblStylePr>
    <w:tblStylePr w:type="band2Horz">
      <w:rPr>
        <w:rFonts w:ascii="Arial" w:hAnsi="Arial"/>
        <w:color w:val="FDD8BA"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7F7F7F" w:themeColor="text1" w:themeTint="80" w:fill="7F7F7F" w:themeFill="text1" w:themeFillTint="80"/>
      </w:tcPr>
    </w:tblStylePr>
    <w:tblStylePr w:type="lastRow">
      <w:rPr>
        <w:rFonts w:ascii="Arial" w:hAnsi="Arial"/>
        <w:color w:val="F2F2F2"/>
        <w:sz w:val="22"/>
      </w:rPr>
      <w:tblPr/>
      <w:trPr>
        <w:hidden/>
      </w:trPr>
      <w:tcPr>
        <w:shd w:val="clear" w:color="7F7F7F" w:themeColor="text1" w:themeTint="80" w:fill="7F7F7F" w:themeFill="text1" w:themeFillTint="80"/>
      </w:tcPr>
    </w:tblStylePr>
    <w:tblStylePr w:type="firstCol">
      <w:rPr>
        <w:rFonts w:ascii="Arial" w:hAnsi="Arial"/>
        <w:color w:val="F2F2F2"/>
        <w:sz w:val="22"/>
      </w:rPr>
      <w:tblPr/>
      <w:trPr>
        <w:hidden/>
      </w:trPr>
      <w:tcPr>
        <w:shd w:val="clear" w:color="7F7F7F" w:themeColor="text1" w:themeTint="80" w:fill="7F7F7F" w:themeFill="text1" w:themeFillTint="80"/>
      </w:tcPr>
    </w:tblStylePr>
    <w:tblStylePr w:type="lastCol">
      <w:rPr>
        <w:rFonts w:ascii="Arial" w:hAnsi="Arial"/>
        <w:color w:val="F2F2F2"/>
        <w:sz w:val="22"/>
      </w:rPr>
      <w:tblPr/>
      <w:trPr>
        <w:hidden/>
      </w:t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88B0E1" w:themeColor="accent1" w:themeTint="EA" w:fill="88B0E1" w:themeFill="accent1" w:themeFillTint="EA"/>
      </w:tcPr>
    </w:tblStylePr>
    <w:tblStylePr w:type="lastRow">
      <w:rPr>
        <w:rFonts w:ascii="Arial" w:hAnsi="Arial"/>
        <w:color w:val="F2F2F2"/>
        <w:sz w:val="22"/>
      </w:rPr>
      <w:tblPr/>
      <w:trPr>
        <w:hidden/>
      </w:trPr>
      <w:tcPr>
        <w:shd w:val="clear" w:color="88B0E1" w:themeColor="accent1" w:themeTint="EA" w:fill="88B0E1" w:themeFill="accent1" w:themeFillTint="EA"/>
      </w:tcPr>
    </w:tblStylePr>
    <w:tblStylePr w:type="firstCol">
      <w:rPr>
        <w:rFonts w:ascii="Arial" w:hAnsi="Arial"/>
        <w:color w:val="F2F2F2"/>
        <w:sz w:val="22"/>
      </w:rPr>
      <w:tblPr/>
      <w:trPr>
        <w:hidden/>
      </w:trPr>
      <w:tcPr>
        <w:shd w:val="clear" w:color="88B0E1" w:themeColor="accent1" w:themeTint="EA" w:fill="88B0E1" w:themeFill="accent1" w:themeFillTint="EA"/>
      </w:tcPr>
    </w:tblStylePr>
    <w:tblStylePr w:type="lastCol">
      <w:rPr>
        <w:rFonts w:ascii="Arial" w:hAnsi="Arial"/>
        <w:color w:val="F2F2F2"/>
        <w:sz w:val="22"/>
      </w:rPr>
      <w:tblPr/>
      <w:trPr>
        <w:hidden/>
      </w:trPr>
      <w:tcPr>
        <w:shd w:val="clear" w:color="88B0E1" w:themeColor="accent1" w:themeTint="EA" w:fill="88B0E1" w:themeFill="accent1" w:themeFillTint="EA"/>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D6E4F5" w:themeColor="accent1" w:themeTint="50" w:fill="D6E4F5" w:themeFill="accent1" w:themeFillTint="50"/>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D6E4F5" w:themeColor="accent1" w:themeTint="50" w:fill="D6E4F5"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F2ABA9" w:themeColor="accent2" w:themeTint="97" w:fill="F2ABA9" w:themeFill="accent2" w:themeFillTint="97"/>
      </w:tcPr>
    </w:tblStylePr>
    <w:tblStylePr w:type="lastRow">
      <w:rPr>
        <w:rFonts w:ascii="Arial" w:hAnsi="Arial"/>
        <w:color w:val="F2F2F2"/>
        <w:sz w:val="22"/>
      </w:rPr>
      <w:tblPr/>
      <w:trPr>
        <w:hidden/>
      </w:trPr>
      <w:tcPr>
        <w:shd w:val="clear" w:color="F2ABA9" w:themeColor="accent2" w:themeTint="97" w:fill="F2ABA9" w:themeFill="accent2" w:themeFillTint="97"/>
      </w:tcPr>
    </w:tblStylePr>
    <w:tblStylePr w:type="firstCol">
      <w:rPr>
        <w:rFonts w:ascii="Arial" w:hAnsi="Arial"/>
        <w:color w:val="F2F2F2"/>
        <w:sz w:val="22"/>
      </w:rPr>
      <w:tblPr/>
      <w:trPr>
        <w:hidden/>
      </w:trPr>
      <w:tcPr>
        <w:shd w:val="clear" w:color="F2ABA9" w:themeColor="accent2" w:themeTint="97" w:fill="F2ABA9" w:themeFill="accent2" w:themeFillTint="97"/>
      </w:tcPr>
    </w:tblStylePr>
    <w:tblStylePr w:type="lastCol">
      <w:rPr>
        <w:rFonts w:ascii="Arial" w:hAnsi="Arial"/>
        <w:color w:val="F2F2F2"/>
        <w:sz w:val="22"/>
      </w:rPr>
      <w:tblPr/>
      <w:trPr>
        <w:hidden/>
      </w:trPr>
      <w:tcPr>
        <w:shd w:val="clear" w:color="F2ABA9" w:themeColor="accent2" w:themeTint="97" w:fill="F2ABA9" w:themeFill="accent2" w:themeFillTint="97"/>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BE2E2" w:themeColor="accent2" w:themeTint="32" w:fill="FBE2E2" w:themeFill="accent2" w:themeFillTint="32"/>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BE2E2" w:themeColor="accent2" w:themeTint="32" w:fill="FBE2E2"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A9D774" w:themeColor="accent3" w:themeTint="FE" w:fill="A9D774" w:themeFill="accent3" w:themeFillTint="FE"/>
      </w:tcPr>
    </w:tblStylePr>
    <w:tblStylePr w:type="lastRow">
      <w:rPr>
        <w:rFonts w:ascii="Arial" w:hAnsi="Arial"/>
        <w:color w:val="F2F2F2"/>
        <w:sz w:val="22"/>
      </w:rPr>
      <w:tblPr/>
      <w:trPr>
        <w:hidden/>
      </w:trPr>
      <w:tcPr>
        <w:shd w:val="clear" w:color="A9D774" w:themeColor="accent3" w:themeTint="FE" w:fill="A9D774" w:themeFill="accent3" w:themeFillTint="FE"/>
      </w:tcPr>
    </w:tblStylePr>
    <w:tblStylePr w:type="firstCol">
      <w:rPr>
        <w:rFonts w:ascii="Arial" w:hAnsi="Arial"/>
        <w:color w:val="F2F2F2"/>
        <w:sz w:val="22"/>
      </w:rPr>
      <w:tblPr/>
      <w:trPr>
        <w:hidden/>
      </w:trPr>
      <w:tcPr>
        <w:shd w:val="clear" w:color="A9D774" w:themeColor="accent3" w:themeTint="FE" w:fill="A9D774" w:themeFill="accent3" w:themeFillTint="FE"/>
      </w:tcPr>
    </w:tblStylePr>
    <w:tblStylePr w:type="lastCol">
      <w:rPr>
        <w:rFonts w:ascii="Arial" w:hAnsi="Arial"/>
        <w:color w:val="F2F2F2"/>
        <w:sz w:val="22"/>
      </w:rPr>
      <w:tblPr/>
      <w:trPr>
        <w:hidden/>
      </w:trPr>
      <w:tcPr>
        <w:shd w:val="clear" w:color="A9D774" w:themeColor="accent3" w:themeTint="FE" w:fill="A9D774" w:themeFill="accent3" w:themeFillTint="FE"/>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DF6E2" w:themeColor="accent3" w:themeTint="34" w:fill="EDF6E2" w:themeFill="accent3"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DF6E2" w:themeColor="accent3" w:themeTint="34" w:fill="EDF6E2"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C9B8DE" w:themeColor="accent4" w:themeTint="9A" w:fill="C9B8DE" w:themeFill="accent4" w:themeFillTint="9A"/>
      </w:tcPr>
    </w:tblStylePr>
    <w:tblStylePr w:type="lastRow">
      <w:rPr>
        <w:rFonts w:ascii="Arial" w:hAnsi="Arial"/>
        <w:color w:val="F2F2F2"/>
        <w:sz w:val="22"/>
      </w:rPr>
      <w:tblPr/>
      <w:trPr>
        <w:hidden/>
      </w:trPr>
      <w:tcPr>
        <w:shd w:val="clear" w:color="C9B8DE" w:themeColor="accent4" w:themeTint="9A" w:fill="C9B8DE" w:themeFill="accent4" w:themeFillTint="9A"/>
      </w:tcPr>
    </w:tblStylePr>
    <w:tblStylePr w:type="firstCol">
      <w:rPr>
        <w:rFonts w:ascii="Arial" w:hAnsi="Arial"/>
        <w:color w:val="F2F2F2"/>
        <w:sz w:val="22"/>
      </w:rPr>
      <w:tblPr/>
      <w:trPr>
        <w:hidden/>
      </w:trPr>
      <w:tcPr>
        <w:shd w:val="clear" w:color="C9B8DE" w:themeColor="accent4" w:themeTint="9A" w:fill="C9B8DE" w:themeFill="accent4" w:themeFillTint="9A"/>
      </w:tcPr>
    </w:tblStylePr>
    <w:tblStylePr w:type="lastCol">
      <w:rPr>
        <w:rFonts w:ascii="Arial" w:hAnsi="Arial"/>
        <w:color w:val="F2F2F2"/>
        <w:sz w:val="22"/>
      </w:rPr>
      <w:tblPr/>
      <w:trPr>
        <w:hidden/>
      </w:trPr>
      <w:tcPr>
        <w:shd w:val="clear" w:color="C9B8DE" w:themeColor="accent4" w:themeTint="9A" w:fill="C9B8DE" w:themeFill="accent4" w:themeFillTint="9A"/>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DE7F4" w:themeColor="accent4" w:themeTint="34" w:fill="EDE7F4" w:themeFill="accent4"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DE7F4" w:themeColor="accent4" w:themeTint="34" w:fill="EDE7F4"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78CBE1" w:themeColor="accent5" w:fill="78CBE1" w:themeFill="accent5"/>
      </w:tcPr>
    </w:tblStylePr>
    <w:tblStylePr w:type="lastRow">
      <w:rPr>
        <w:rFonts w:ascii="Arial" w:hAnsi="Arial"/>
        <w:color w:val="F2F2F2"/>
        <w:sz w:val="22"/>
      </w:rPr>
      <w:tblPr/>
      <w:trPr>
        <w:hidden/>
      </w:trPr>
      <w:tcPr>
        <w:shd w:val="clear" w:color="78CBE1" w:themeColor="accent5" w:fill="78CBE1" w:themeFill="accent5"/>
      </w:tcPr>
    </w:tblStylePr>
    <w:tblStylePr w:type="firstCol">
      <w:rPr>
        <w:rFonts w:ascii="Arial" w:hAnsi="Arial"/>
        <w:color w:val="F2F2F2"/>
        <w:sz w:val="22"/>
      </w:rPr>
      <w:tblPr/>
      <w:trPr>
        <w:hidden/>
      </w:trPr>
      <w:tcPr>
        <w:shd w:val="clear" w:color="78CBE1" w:themeColor="accent5" w:fill="78CBE1" w:themeFill="accent5"/>
      </w:tcPr>
    </w:tblStylePr>
    <w:tblStylePr w:type="lastCol">
      <w:rPr>
        <w:rFonts w:ascii="Arial" w:hAnsi="Arial"/>
        <w:color w:val="F2F2F2"/>
        <w:sz w:val="22"/>
      </w:rPr>
      <w:tblPr/>
      <w:trPr>
        <w:hidden/>
      </w:trPr>
      <w:tcPr>
        <w:shd w:val="clear" w:color="78CBE1" w:themeColor="accent5" w:fill="78CBE1" w:themeFill="accent5"/>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3F4F9" w:themeColor="accent5" w:themeTint="34" w:fill="E3F4F9" w:themeFill="accent5"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3F4F9" w:themeColor="accent5" w:themeTint="34" w:fill="E3F4F9"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FCBF8C" w:themeColor="accent6" w:fill="FCBF8C" w:themeFill="accent6"/>
      </w:tcPr>
    </w:tblStylePr>
    <w:tblStylePr w:type="lastRow">
      <w:rPr>
        <w:rFonts w:ascii="Arial" w:hAnsi="Arial"/>
        <w:color w:val="F2F2F2"/>
        <w:sz w:val="22"/>
      </w:rPr>
      <w:tblPr/>
      <w:trPr>
        <w:hidden/>
      </w:trPr>
      <w:tcPr>
        <w:shd w:val="clear" w:color="FCBF8C" w:themeColor="accent6" w:fill="FCBF8C" w:themeFill="accent6"/>
      </w:tcPr>
    </w:tblStylePr>
    <w:tblStylePr w:type="firstCol">
      <w:rPr>
        <w:rFonts w:ascii="Arial" w:hAnsi="Arial"/>
        <w:color w:val="F2F2F2"/>
        <w:sz w:val="22"/>
      </w:rPr>
      <w:tblPr/>
      <w:trPr>
        <w:hidden/>
      </w:trPr>
      <w:tcPr>
        <w:shd w:val="clear" w:color="FCBF8C" w:themeColor="accent6" w:fill="FCBF8C" w:themeFill="accent6"/>
      </w:tcPr>
    </w:tblStylePr>
    <w:tblStylePr w:type="lastCol">
      <w:rPr>
        <w:rFonts w:ascii="Arial" w:hAnsi="Arial"/>
        <w:color w:val="F2F2F2"/>
        <w:sz w:val="22"/>
      </w:rPr>
      <w:tblPr/>
      <w:trPr>
        <w:hidden/>
      </w:trPr>
      <w:tcPr>
        <w:shd w:val="clear" w:color="FCBF8C" w:themeColor="accent6" w:fill="FCBF8C" w:themeFill="accent6"/>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EF1E7" w:themeColor="accent6" w:themeTint="34" w:fill="FEF1E7" w:themeFill="accent6"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EF1E7" w:themeColor="accent6" w:themeTint="34" w:fill="FEF1E7"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7F7F7F" w:themeColor="text1" w:themeTint="80" w:fill="7F7F7F" w:themeFill="text1" w:themeFillTint="80"/>
      </w:tcPr>
    </w:tblStylePr>
    <w:tblStylePr w:type="lastRow">
      <w:rPr>
        <w:rFonts w:ascii="Arial" w:hAnsi="Arial"/>
        <w:color w:val="F2F2F2"/>
        <w:sz w:val="22"/>
      </w:rPr>
      <w:tblPr/>
      <w:trPr>
        <w:hidden/>
      </w:trPr>
      <w:tcPr>
        <w:shd w:val="clear" w:color="7F7F7F" w:themeColor="text1" w:themeTint="80" w:fill="7F7F7F" w:themeFill="text1" w:themeFillTint="80"/>
      </w:tcPr>
    </w:tblStylePr>
    <w:tblStylePr w:type="firstCol">
      <w:rPr>
        <w:rFonts w:ascii="Arial" w:hAnsi="Arial"/>
        <w:color w:val="F2F2F2"/>
        <w:sz w:val="22"/>
      </w:rPr>
      <w:tblPr/>
      <w:trPr>
        <w:hidden/>
      </w:trPr>
      <w:tcPr>
        <w:shd w:val="clear" w:color="7F7F7F" w:themeColor="text1" w:themeTint="80" w:fill="7F7F7F" w:themeFill="text1" w:themeFillTint="80"/>
      </w:tcPr>
    </w:tblStylePr>
    <w:tblStylePr w:type="lastCol">
      <w:rPr>
        <w:rFonts w:ascii="Arial" w:hAnsi="Arial"/>
        <w:color w:val="F2F2F2"/>
        <w:sz w:val="22"/>
      </w:rPr>
      <w:tblPr/>
      <w:trPr>
        <w:hidden/>
      </w:t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Ind w:w="0" w:type="dxa"/>
      <w:tblBorders>
        <w:top w:val="single" w:sz="4" w:space="0" w:color="285FA3" w:themeColor="accent1" w:themeShade="95"/>
        <w:left w:val="single" w:sz="4" w:space="0" w:color="285FA3" w:themeColor="accent1" w:themeShade="95"/>
        <w:bottom w:val="single" w:sz="4" w:space="0" w:color="285FA3" w:themeColor="accent1" w:themeShade="95"/>
        <w:right w:val="single" w:sz="4" w:space="0" w:color="285FA3" w:themeColor="accent1" w:themeShade="95"/>
        <w:insideH w:val="single" w:sz="4" w:space="0" w:color="285FA3" w:themeColor="accent1" w:themeShade="95"/>
        <w:insideV w:val="single" w:sz="4" w:space="0" w:color="285FA3" w:themeColor="accent1"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88B0E1" w:themeColor="accent1" w:themeTint="EA" w:fill="88B0E1" w:themeFill="accent1" w:themeFillTint="EA"/>
      </w:tcPr>
    </w:tblStylePr>
    <w:tblStylePr w:type="lastRow">
      <w:rPr>
        <w:rFonts w:ascii="Arial" w:hAnsi="Arial"/>
        <w:color w:val="F2F2F2"/>
        <w:sz w:val="22"/>
      </w:rPr>
      <w:tblPr/>
      <w:trPr>
        <w:hidden/>
      </w:trPr>
      <w:tcPr>
        <w:shd w:val="clear" w:color="88B0E1" w:themeColor="accent1" w:themeTint="EA" w:fill="88B0E1" w:themeFill="accent1" w:themeFillTint="EA"/>
      </w:tcPr>
    </w:tblStylePr>
    <w:tblStylePr w:type="firstCol">
      <w:rPr>
        <w:rFonts w:ascii="Arial" w:hAnsi="Arial"/>
        <w:color w:val="F2F2F2"/>
        <w:sz w:val="22"/>
      </w:rPr>
      <w:tblPr/>
      <w:trPr>
        <w:hidden/>
      </w:trPr>
      <w:tcPr>
        <w:shd w:val="clear" w:color="88B0E1" w:themeColor="accent1" w:themeTint="EA" w:fill="88B0E1" w:themeFill="accent1" w:themeFillTint="EA"/>
      </w:tcPr>
    </w:tblStylePr>
    <w:tblStylePr w:type="lastCol">
      <w:rPr>
        <w:rFonts w:ascii="Arial" w:hAnsi="Arial"/>
        <w:color w:val="F2F2F2"/>
        <w:sz w:val="22"/>
      </w:rPr>
      <w:tblPr/>
      <w:trPr>
        <w:hidden/>
      </w:trPr>
      <w:tcPr>
        <w:shd w:val="clear" w:color="88B0E1" w:themeColor="accent1" w:themeTint="EA" w:fill="88B0E1" w:themeFill="accent1" w:themeFillTint="EA"/>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D6E4F5" w:themeColor="accent1" w:themeTint="50" w:fill="D6E4F5" w:themeFill="accent1" w:themeFillTint="50"/>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D6E4F5" w:themeColor="accent1" w:themeTint="50" w:fill="D6E4F5"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Ind w:w="0" w:type="dxa"/>
      <w:tblBorders>
        <w:top w:val="single" w:sz="4" w:space="0" w:color="AF1D19" w:themeColor="accent2" w:themeShade="95"/>
        <w:left w:val="single" w:sz="4" w:space="0" w:color="AF1D19" w:themeColor="accent2" w:themeShade="95"/>
        <w:bottom w:val="single" w:sz="4" w:space="0" w:color="AF1D19" w:themeColor="accent2" w:themeShade="95"/>
        <w:right w:val="single" w:sz="4" w:space="0" w:color="AF1D19" w:themeColor="accent2" w:themeShade="95"/>
        <w:insideH w:val="single" w:sz="4" w:space="0" w:color="AF1D19" w:themeColor="accent2" w:themeShade="95"/>
        <w:insideV w:val="single" w:sz="4" w:space="0" w:color="AF1D19" w:themeColor="accent2"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F2ABA9" w:themeColor="accent2" w:themeTint="97" w:fill="F2ABA9" w:themeFill="accent2" w:themeFillTint="97"/>
      </w:tcPr>
    </w:tblStylePr>
    <w:tblStylePr w:type="lastRow">
      <w:rPr>
        <w:rFonts w:ascii="Arial" w:hAnsi="Arial"/>
        <w:color w:val="F2F2F2"/>
        <w:sz w:val="22"/>
      </w:rPr>
      <w:tblPr/>
      <w:trPr>
        <w:hidden/>
      </w:trPr>
      <w:tcPr>
        <w:shd w:val="clear" w:color="F2ABA9" w:themeColor="accent2" w:themeTint="97" w:fill="F2ABA9" w:themeFill="accent2" w:themeFillTint="97"/>
      </w:tcPr>
    </w:tblStylePr>
    <w:tblStylePr w:type="firstCol">
      <w:rPr>
        <w:rFonts w:ascii="Arial" w:hAnsi="Arial"/>
        <w:color w:val="F2F2F2"/>
        <w:sz w:val="22"/>
      </w:rPr>
      <w:tblPr/>
      <w:trPr>
        <w:hidden/>
      </w:trPr>
      <w:tcPr>
        <w:shd w:val="clear" w:color="F2ABA9" w:themeColor="accent2" w:themeTint="97" w:fill="F2ABA9" w:themeFill="accent2" w:themeFillTint="97"/>
      </w:tcPr>
    </w:tblStylePr>
    <w:tblStylePr w:type="lastCol">
      <w:rPr>
        <w:rFonts w:ascii="Arial" w:hAnsi="Arial"/>
        <w:color w:val="F2F2F2"/>
        <w:sz w:val="22"/>
      </w:rPr>
      <w:tblPr/>
      <w:trPr>
        <w:hidden/>
      </w:trPr>
      <w:tcPr>
        <w:shd w:val="clear" w:color="F2ABA9" w:themeColor="accent2" w:themeTint="97" w:fill="F2ABA9" w:themeFill="accent2" w:themeFillTint="97"/>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BE2E2" w:themeColor="accent2" w:themeTint="32" w:fill="FBE2E2" w:themeFill="accent2" w:themeFillTint="32"/>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BE2E2" w:themeColor="accent2" w:themeTint="32" w:fill="FBE2E2"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Ind w:w="0" w:type="dxa"/>
      <w:tblBorders>
        <w:top w:val="single" w:sz="4" w:space="0" w:color="64962B" w:themeColor="accent3" w:themeShade="95"/>
        <w:left w:val="single" w:sz="4" w:space="0" w:color="64962B" w:themeColor="accent3" w:themeShade="95"/>
        <w:bottom w:val="single" w:sz="4" w:space="0" w:color="64962B" w:themeColor="accent3" w:themeShade="95"/>
        <w:right w:val="single" w:sz="4" w:space="0" w:color="64962B" w:themeColor="accent3" w:themeShade="95"/>
        <w:insideH w:val="single" w:sz="4" w:space="0" w:color="64962B" w:themeColor="accent3" w:themeShade="95"/>
        <w:insideV w:val="single" w:sz="4" w:space="0" w:color="64962B" w:themeColor="accent3"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A9D774" w:themeColor="accent3" w:themeTint="FE" w:fill="A9D774" w:themeFill="accent3" w:themeFillTint="FE"/>
      </w:tcPr>
    </w:tblStylePr>
    <w:tblStylePr w:type="lastRow">
      <w:rPr>
        <w:rFonts w:ascii="Arial" w:hAnsi="Arial"/>
        <w:color w:val="F2F2F2"/>
        <w:sz w:val="22"/>
      </w:rPr>
      <w:tblPr/>
      <w:trPr>
        <w:hidden/>
      </w:trPr>
      <w:tcPr>
        <w:shd w:val="clear" w:color="A9D774" w:themeColor="accent3" w:themeTint="FE" w:fill="A9D774" w:themeFill="accent3" w:themeFillTint="FE"/>
      </w:tcPr>
    </w:tblStylePr>
    <w:tblStylePr w:type="firstCol">
      <w:rPr>
        <w:rFonts w:ascii="Arial" w:hAnsi="Arial"/>
        <w:color w:val="F2F2F2"/>
        <w:sz w:val="22"/>
      </w:rPr>
      <w:tblPr/>
      <w:trPr>
        <w:hidden/>
      </w:trPr>
      <w:tcPr>
        <w:shd w:val="clear" w:color="A9D774" w:themeColor="accent3" w:themeTint="FE" w:fill="A9D774" w:themeFill="accent3" w:themeFillTint="FE"/>
      </w:tcPr>
    </w:tblStylePr>
    <w:tblStylePr w:type="lastCol">
      <w:rPr>
        <w:rFonts w:ascii="Arial" w:hAnsi="Arial"/>
        <w:color w:val="F2F2F2"/>
        <w:sz w:val="22"/>
      </w:rPr>
      <w:tblPr/>
      <w:trPr>
        <w:hidden/>
      </w:trPr>
      <w:tcPr>
        <w:shd w:val="clear" w:color="A9D774" w:themeColor="accent3" w:themeTint="FE" w:fill="A9D774" w:themeFill="accent3" w:themeFillTint="FE"/>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DF6E2" w:themeColor="accent3" w:themeTint="34" w:fill="EDF6E2" w:themeFill="accent3"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DF6E2" w:themeColor="accent3" w:themeTint="34" w:fill="EDF6E2"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Ind w:w="0" w:type="dxa"/>
      <w:tblBorders>
        <w:top w:val="single" w:sz="4" w:space="0" w:color="5F3F87" w:themeColor="accent4" w:themeShade="95"/>
        <w:left w:val="single" w:sz="4" w:space="0" w:color="5F3F87" w:themeColor="accent4" w:themeShade="95"/>
        <w:bottom w:val="single" w:sz="4" w:space="0" w:color="5F3F87" w:themeColor="accent4" w:themeShade="95"/>
        <w:right w:val="single" w:sz="4" w:space="0" w:color="5F3F87" w:themeColor="accent4" w:themeShade="95"/>
        <w:insideH w:val="single" w:sz="4" w:space="0" w:color="5F3F87" w:themeColor="accent4" w:themeShade="95"/>
        <w:insideV w:val="single" w:sz="4" w:space="0" w:color="5F3F87" w:themeColor="accent4"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C9B8DE" w:themeColor="accent4" w:themeTint="9A" w:fill="C9B8DE" w:themeFill="accent4" w:themeFillTint="9A"/>
      </w:tcPr>
    </w:tblStylePr>
    <w:tblStylePr w:type="lastRow">
      <w:rPr>
        <w:rFonts w:ascii="Arial" w:hAnsi="Arial"/>
        <w:color w:val="F2F2F2"/>
        <w:sz w:val="22"/>
      </w:rPr>
      <w:tblPr/>
      <w:trPr>
        <w:hidden/>
      </w:trPr>
      <w:tcPr>
        <w:shd w:val="clear" w:color="C9B8DE" w:themeColor="accent4" w:themeTint="9A" w:fill="C9B8DE" w:themeFill="accent4" w:themeFillTint="9A"/>
      </w:tcPr>
    </w:tblStylePr>
    <w:tblStylePr w:type="firstCol">
      <w:rPr>
        <w:rFonts w:ascii="Arial" w:hAnsi="Arial"/>
        <w:color w:val="F2F2F2"/>
        <w:sz w:val="22"/>
      </w:rPr>
      <w:tblPr/>
      <w:trPr>
        <w:hidden/>
      </w:trPr>
      <w:tcPr>
        <w:shd w:val="clear" w:color="C9B8DE" w:themeColor="accent4" w:themeTint="9A" w:fill="C9B8DE" w:themeFill="accent4" w:themeFillTint="9A"/>
      </w:tcPr>
    </w:tblStylePr>
    <w:tblStylePr w:type="lastCol">
      <w:rPr>
        <w:rFonts w:ascii="Arial" w:hAnsi="Arial"/>
        <w:color w:val="F2F2F2"/>
        <w:sz w:val="22"/>
      </w:rPr>
      <w:tblPr/>
      <w:trPr>
        <w:hidden/>
      </w:trPr>
      <w:tcPr>
        <w:shd w:val="clear" w:color="C9B8DE" w:themeColor="accent4" w:themeTint="9A" w:fill="C9B8DE" w:themeFill="accent4" w:themeFillTint="9A"/>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DE7F4" w:themeColor="accent4" w:themeTint="34" w:fill="EDE7F4" w:themeFill="accent4"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DE7F4" w:themeColor="accent4" w:themeTint="34" w:fill="EDE7F4"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Ind w:w="0" w:type="dxa"/>
      <w:tblBorders>
        <w:top w:val="single" w:sz="4" w:space="0" w:color="2489A4" w:themeColor="accent5" w:themeShade="95"/>
        <w:left w:val="single" w:sz="4" w:space="0" w:color="2489A4" w:themeColor="accent5" w:themeShade="95"/>
        <w:bottom w:val="single" w:sz="4" w:space="0" w:color="2489A4" w:themeColor="accent5" w:themeShade="95"/>
        <w:right w:val="single" w:sz="4" w:space="0" w:color="2489A4" w:themeColor="accent5" w:themeShade="95"/>
        <w:insideH w:val="single" w:sz="4" w:space="0" w:color="2489A4" w:themeColor="accent5" w:themeShade="95"/>
        <w:insideV w:val="single" w:sz="4" w:space="0" w:color="2489A4" w:themeColor="accent5"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78CBE1" w:themeColor="accent5" w:fill="78CBE1" w:themeFill="accent5"/>
      </w:tcPr>
    </w:tblStylePr>
    <w:tblStylePr w:type="lastRow">
      <w:rPr>
        <w:rFonts w:ascii="Arial" w:hAnsi="Arial"/>
        <w:color w:val="F2F2F2"/>
        <w:sz w:val="22"/>
      </w:rPr>
      <w:tblPr/>
      <w:trPr>
        <w:hidden/>
      </w:trPr>
      <w:tcPr>
        <w:shd w:val="clear" w:color="78CBE1" w:themeColor="accent5" w:fill="78CBE1" w:themeFill="accent5"/>
      </w:tcPr>
    </w:tblStylePr>
    <w:tblStylePr w:type="firstCol">
      <w:rPr>
        <w:rFonts w:ascii="Arial" w:hAnsi="Arial"/>
        <w:color w:val="F2F2F2"/>
        <w:sz w:val="22"/>
      </w:rPr>
      <w:tblPr/>
      <w:trPr>
        <w:hidden/>
      </w:trPr>
      <w:tcPr>
        <w:shd w:val="clear" w:color="78CBE1" w:themeColor="accent5" w:fill="78CBE1" w:themeFill="accent5"/>
      </w:tcPr>
    </w:tblStylePr>
    <w:tblStylePr w:type="lastCol">
      <w:rPr>
        <w:rFonts w:ascii="Arial" w:hAnsi="Arial"/>
        <w:color w:val="F2F2F2"/>
        <w:sz w:val="22"/>
      </w:rPr>
      <w:tblPr/>
      <w:trPr>
        <w:hidden/>
      </w:trPr>
      <w:tcPr>
        <w:shd w:val="clear" w:color="78CBE1" w:themeColor="accent5" w:fill="78CBE1" w:themeFill="accent5"/>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3F4F9" w:themeColor="accent5" w:themeTint="34" w:fill="E3F4F9" w:themeFill="accent5"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3F4F9" w:themeColor="accent5" w:themeTint="34" w:fill="E3F4F9"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Ind w:w="0" w:type="dxa"/>
      <w:tblBorders>
        <w:top w:val="single" w:sz="4" w:space="0" w:color="DF6806" w:themeColor="accent6" w:themeShade="95"/>
        <w:left w:val="single" w:sz="4" w:space="0" w:color="DF6806" w:themeColor="accent6" w:themeShade="95"/>
        <w:bottom w:val="single" w:sz="4" w:space="0" w:color="DF6806" w:themeColor="accent6" w:themeShade="95"/>
        <w:right w:val="single" w:sz="4" w:space="0" w:color="DF6806" w:themeColor="accent6" w:themeShade="95"/>
        <w:insideH w:val="single" w:sz="4" w:space="0" w:color="DF6806" w:themeColor="accent6" w:themeShade="95"/>
        <w:insideV w:val="single" w:sz="4" w:space="0" w:color="DF6806" w:themeColor="accent6"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FCBF8C" w:themeColor="accent6" w:fill="FCBF8C" w:themeFill="accent6"/>
      </w:tcPr>
    </w:tblStylePr>
    <w:tblStylePr w:type="lastRow">
      <w:rPr>
        <w:rFonts w:ascii="Arial" w:hAnsi="Arial"/>
        <w:color w:val="F2F2F2"/>
        <w:sz w:val="22"/>
      </w:rPr>
      <w:tblPr/>
      <w:trPr>
        <w:hidden/>
      </w:trPr>
      <w:tcPr>
        <w:shd w:val="clear" w:color="FCBF8C" w:themeColor="accent6" w:fill="FCBF8C" w:themeFill="accent6"/>
      </w:tcPr>
    </w:tblStylePr>
    <w:tblStylePr w:type="firstCol">
      <w:rPr>
        <w:rFonts w:ascii="Arial" w:hAnsi="Arial"/>
        <w:color w:val="F2F2F2"/>
        <w:sz w:val="22"/>
      </w:rPr>
      <w:tblPr/>
      <w:trPr>
        <w:hidden/>
      </w:trPr>
      <w:tcPr>
        <w:shd w:val="clear" w:color="FCBF8C" w:themeColor="accent6" w:fill="FCBF8C" w:themeFill="accent6"/>
      </w:tcPr>
    </w:tblStylePr>
    <w:tblStylePr w:type="lastCol">
      <w:rPr>
        <w:rFonts w:ascii="Arial" w:hAnsi="Arial"/>
        <w:color w:val="F2F2F2"/>
        <w:sz w:val="22"/>
      </w:rPr>
      <w:tblPr/>
      <w:trPr>
        <w:hidden/>
      </w:trPr>
      <w:tcPr>
        <w:shd w:val="clear" w:color="FCBF8C" w:themeColor="accent6" w:fill="FCBF8C" w:themeFill="accent6"/>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EF1E7" w:themeColor="accent6" w:themeTint="34" w:fill="FEF1E7" w:themeFill="accent6"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EF1E7" w:themeColor="accent6" w:themeTint="34" w:fill="FEF1E7"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7F7F7F" w:themeColor="text1" w:themeTint="80"/>
        </w:tcBorders>
      </w:tcPr>
    </w:tblStylePr>
    <w:tblStylePr w:type="lastRow">
      <w:rPr>
        <w:rFonts w:ascii="Arial" w:hAnsi="Arial"/>
        <w:color w:val="404040"/>
        <w:sz w:val="22"/>
      </w:rPr>
      <w:tblPr/>
      <w:trPr>
        <w:hidden/>
      </w:tr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7F7F7F" w:themeColor="text1" w:themeTint="80"/>
        </w:tcBorders>
      </w:tcPr>
    </w:tblStylePr>
    <w:tblStylePr w:type="band1Horz">
      <w:rPr>
        <w:rFonts w:ascii="Arial" w:hAnsi="Arial"/>
        <w:color w:val="404040"/>
        <w:sz w:val="22"/>
      </w:rPr>
      <w:tblPr/>
      <w:trPr>
        <w:hidden/>
      </w:t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insideH w:val="single" w:sz="4" w:space="0" w:color="CADCF2" w:themeColor="accent1" w:themeTint="67"/>
        <w:insideV w:val="single" w:sz="4" w:space="0" w:color="CADCF2" w:themeColor="accent1"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7EAADF" w:themeColor="accent1"/>
        </w:tcBorders>
      </w:tcPr>
    </w:tblStylePr>
    <w:tblStylePr w:type="lastRow">
      <w:rPr>
        <w:rFonts w:ascii="Arial" w:hAnsi="Arial"/>
        <w:color w:val="404040"/>
        <w:sz w:val="22"/>
      </w:rPr>
      <w:tblPr/>
      <w:trPr>
        <w:hidden/>
      </w:trPr>
      <w:tcPr>
        <w:tcBorders>
          <w:top w:val="single" w:sz="12" w:space="0" w:color="7EAADF" w:themeColor="accent1"/>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7EAADF" w:themeColor="accent1"/>
        </w:tcBorders>
      </w:tcPr>
    </w:tblStylePr>
    <w:tblStylePr w:type="band1Horz">
      <w:rPr>
        <w:rFonts w:ascii="Arial" w:hAnsi="Arial"/>
        <w:color w:val="404040"/>
        <w:sz w:val="22"/>
      </w:rPr>
      <w:tblPr/>
      <w:trPr>
        <w:hidden/>
      </w:trPr>
      <w:tcPr>
        <w:tc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insideH w:val="single" w:sz="4" w:space="0" w:color="F6C5C4" w:themeColor="accent2" w:themeTint="67"/>
        <w:insideV w:val="single" w:sz="4" w:space="0" w:color="F6C5C4" w:themeColor="accent2"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F2ABA9" w:themeColor="accent2" w:themeTint="97"/>
        </w:tcBorders>
      </w:tcPr>
    </w:tblStylePr>
    <w:tblStylePr w:type="lastRow">
      <w:rPr>
        <w:rFonts w:ascii="Arial" w:hAnsi="Arial"/>
        <w:color w:val="404040"/>
        <w:sz w:val="22"/>
      </w:rPr>
      <w:tblPr/>
      <w:trPr>
        <w:hidden/>
      </w:trPr>
      <w:tcPr>
        <w:tcBorders>
          <w:top w:val="single" w:sz="12" w:space="0" w:color="F2ABA9" w:themeColor="accent2" w:themeTint="97"/>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F2ABA9" w:themeColor="accent2" w:themeTint="97"/>
        </w:tcBorders>
      </w:tcPr>
    </w:tblStylePr>
    <w:tblStylePr w:type="band1Horz">
      <w:rPr>
        <w:rFonts w:ascii="Arial" w:hAnsi="Arial"/>
        <w:color w:val="404040"/>
        <w:sz w:val="22"/>
      </w:rPr>
      <w:tblPr/>
      <w:trPr>
        <w:hidden/>
      </w:trPr>
      <w:tcPr>
        <w:tc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insideH w:val="single" w:sz="4" w:space="0" w:color="DCEEC6" w:themeColor="accent3" w:themeTint="67"/>
        <w:insideV w:val="single" w:sz="4" w:space="0" w:color="DCEEC6" w:themeColor="accent3"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CBE7AB" w:themeColor="accent3" w:themeTint="98"/>
        </w:tcBorders>
      </w:tcPr>
    </w:tblStylePr>
    <w:tblStylePr w:type="lastRow">
      <w:rPr>
        <w:rFonts w:ascii="Arial" w:hAnsi="Arial"/>
        <w:color w:val="404040"/>
        <w:sz w:val="22"/>
      </w:rPr>
      <w:tblPr/>
      <w:trPr>
        <w:hidden/>
      </w:trPr>
      <w:tcPr>
        <w:tcBorders>
          <w:top w:val="single" w:sz="12" w:space="0" w:color="CBE7AB" w:themeColor="accent3" w:themeTint="98"/>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CBE7AB" w:themeColor="accent3" w:themeTint="98"/>
        </w:tcBorders>
      </w:tcPr>
    </w:tblStylePr>
    <w:tblStylePr w:type="band1Horz">
      <w:rPr>
        <w:rFonts w:ascii="Arial" w:hAnsi="Arial"/>
        <w:color w:val="404040"/>
        <w:sz w:val="22"/>
      </w:rPr>
      <w:tblPr/>
      <w:trPr>
        <w:hidden/>
      </w:trPr>
      <w:tcPr>
        <w:tc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insideH w:val="single" w:sz="4" w:space="0" w:color="DBD0E9" w:themeColor="accent4" w:themeTint="67"/>
        <w:insideV w:val="single" w:sz="4" w:space="0" w:color="DBD0E9" w:themeColor="accent4"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C9B8DE" w:themeColor="accent4" w:themeTint="9A"/>
        </w:tcBorders>
      </w:tcPr>
    </w:tblStylePr>
    <w:tblStylePr w:type="lastRow">
      <w:rPr>
        <w:rFonts w:ascii="Arial" w:hAnsi="Arial"/>
        <w:color w:val="404040"/>
        <w:sz w:val="22"/>
      </w:rPr>
      <w:tblPr/>
      <w:trPr>
        <w:hidden/>
      </w:trPr>
      <w:tcPr>
        <w:tcBorders>
          <w:top w:val="single" w:sz="12" w:space="0" w:color="C9B8DE" w:themeColor="accent4" w:themeTint="9A"/>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C9B8DE" w:themeColor="accent4" w:themeTint="9A"/>
        </w:tcBorders>
      </w:tcPr>
    </w:tblStylePr>
    <w:tblStylePr w:type="band1Horz">
      <w:rPr>
        <w:rFonts w:ascii="Arial" w:hAnsi="Arial"/>
        <w:color w:val="404040"/>
        <w:sz w:val="22"/>
      </w:rPr>
      <w:tblPr/>
      <w:trPr>
        <w:hidden/>
      </w:trPr>
      <w:tcPr>
        <w:tc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insideH w:val="single" w:sz="4" w:space="0" w:color="C8E9F3" w:themeColor="accent5" w:themeTint="67"/>
        <w:insideV w:val="single" w:sz="4" w:space="0" w:color="C8E9F3" w:themeColor="accent5"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ADDFED" w:themeColor="accent5" w:themeTint="9A"/>
        </w:tcBorders>
      </w:tcPr>
    </w:tblStylePr>
    <w:tblStylePr w:type="lastRow">
      <w:rPr>
        <w:rFonts w:ascii="Arial" w:hAnsi="Arial"/>
        <w:color w:val="404040"/>
        <w:sz w:val="22"/>
      </w:rPr>
      <w:tblPr/>
      <w:trPr>
        <w:hidden/>
      </w:trPr>
      <w:tcPr>
        <w:tcBorders>
          <w:top w:val="single" w:sz="12" w:space="0" w:color="ADDFED" w:themeColor="accent5" w:themeTint="9A"/>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ADDFED" w:themeColor="accent5" w:themeTint="9A"/>
        </w:tcBorders>
      </w:tcPr>
    </w:tblStylePr>
    <w:tblStylePr w:type="band1Horz">
      <w:rPr>
        <w:rFonts w:ascii="Arial" w:hAnsi="Arial"/>
        <w:color w:val="404040"/>
        <w:sz w:val="22"/>
      </w:rPr>
      <w:tblPr/>
      <w:trPr>
        <w:hidden/>
      </w:trPr>
      <w:tcPr>
        <w:tc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insideH w:val="single" w:sz="4" w:space="0" w:color="FDE5D0" w:themeColor="accent6" w:themeTint="67"/>
        <w:insideV w:val="single" w:sz="4" w:space="0" w:color="FDE5D0" w:themeColor="accent6"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FDD8BA" w:themeColor="accent6" w:themeTint="98"/>
        </w:tcBorders>
      </w:tcPr>
    </w:tblStylePr>
    <w:tblStylePr w:type="lastRow">
      <w:rPr>
        <w:rFonts w:ascii="Arial" w:hAnsi="Arial"/>
        <w:color w:val="404040"/>
        <w:sz w:val="22"/>
      </w:rPr>
      <w:tblPr/>
      <w:trPr>
        <w:hidden/>
      </w:trPr>
      <w:tcPr>
        <w:tcBorders>
          <w:top w:val="single" w:sz="12" w:space="0" w:color="FDD8BA" w:themeColor="accent6" w:themeTint="98"/>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FDD8BA" w:themeColor="accent6" w:themeTint="98"/>
        </w:tcBorders>
      </w:tcPr>
    </w:tblStylePr>
    <w:tblStylePr w:type="band1Horz">
      <w:rPr>
        <w:rFonts w:ascii="Arial" w:hAnsi="Arial"/>
        <w:color w:val="404040"/>
        <w:sz w:val="22"/>
      </w:rPr>
      <w:tblPr/>
      <w:trPr>
        <w:hidden/>
      </w:trPr>
      <w:tcPr>
        <w:tc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tcBorders>
      </w:tcPr>
    </w:tblStyle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character" w:styleId="afa">
    <w:name w:val="line number"/>
    <w:basedOn w:val="a0"/>
    <w:semiHidden/>
  </w:style>
  <w:style w:type="character" w:styleId="afb">
    <w:name w:val="Hyperlink"/>
    <w:rPr>
      <w:color w:val="0000FF"/>
      <w:u w:val="single"/>
    </w:rPr>
  </w:style>
  <w:style w:type="table" w:styleId="12">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styleId="afc">
    <w:name w:val="Balloon Text"/>
    <w:basedOn w:val="a"/>
    <w:link w:val="afd"/>
    <w:uiPriority w:val="99"/>
    <w:semiHidden/>
    <w:unhideWhenUsed/>
    <w:rPr>
      <w:rFonts w:ascii="Tahoma" w:hAnsi="Tahoma" w:cs="Tahoma"/>
      <w:sz w:val="16"/>
      <w:szCs w:val="16"/>
    </w:rPr>
  </w:style>
  <w:style w:type="character" w:customStyle="1" w:styleId="afd">
    <w:name w:val="Текст выноски Знак"/>
    <w:basedOn w:val="a0"/>
    <w:link w:val="afc"/>
    <w:uiPriority w:val="99"/>
    <w:semiHidden/>
    <w:rPr>
      <w:rFonts w:ascii="Tahoma" w:hAnsi="Tahoma" w:cs="Tahoma"/>
      <w:sz w:val="16"/>
      <w:szCs w:val="16"/>
    </w:rPr>
  </w:style>
  <w:style w:type="paragraph" w:customStyle="1" w:styleId="13">
    <w:name w:val="Основной текст с отступом1"/>
    <w:pPr>
      <w:pBdr>
        <w:top w:val="none" w:sz="4" w:space="0" w:color="000000"/>
        <w:left w:val="none" w:sz="4" w:space="0" w:color="000000"/>
        <w:bottom w:val="none" w:sz="4" w:space="0" w:color="000000"/>
        <w:right w:val="none" w:sz="4" w:space="0" w:color="000000"/>
        <w:between w:val="none" w:sz="4" w:space="0" w:color="000000"/>
      </w:pBdr>
      <w:ind w:firstLine="5670"/>
    </w:pPr>
    <w:rPr>
      <w:rFonts w:ascii="Times New Roman" w:eastAsia="Times New Roman" w:hAnsi="Times New Roman" w:cs="Times New Roman"/>
      <w:b/>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basedOn w:val="a0"/>
    <w:uiPriority w:val="35"/>
    <w:rPr>
      <w:b/>
      <w:bCs/>
      <w:color w:val="7EAADF" w:themeColor="accent1"/>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ae">
    <w:name w:val="Нижний колонтитул Знак"/>
    <w:basedOn w:val="a0"/>
    <w:link w:val="ad"/>
    <w:uiPriority w:val="99"/>
  </w:style>
  <w:style w:type="paragraph" w:styleId="af">
    <w:name w:val="caption"/>
    <w:basedOn w:val="a"/>
    <w:next w:val="a"/>
    <w:link w:val="af0"/>
    <w:uiPriority w:val="35"/>
    <w:semiHidden/>
    <w:unhideWhenUsed/>
    <w:qFormat/>
    <w:pPr>
      <w:spacing w:line="276" w:lineRule="auto"/>
    </w:pPr>
    <w:rPr>
      <w:b/>
      <w:bCs/>
      <w:color w:val="7EAADF" w:themeColor="accent1"/>
      <w:sz w:val="18"/>
      <w:szCs w:val="18"/>
    </w:rPr>
  </w:style>
  <w:style w:type="character" w:customStyle="1" w:styleId="af0">
    <w:name w:val="Название объекта Знак"/>
    <w:basedOn w:val="a0"/>
    <w:link w:val="af"/>
    <w:uiPriority w:val="35"/>
    <w:rPr>
      <w:b/>
      <w:bCs/>
      <w:color w:val="7EAADF" w:themeColor="accent1"/>
      <w:sz w:val="18"/>
      <w:szCs w:val="18"/>
    </w:rPr>
  </w:style>
  <w:style w:type="table" w:styleId="af1">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rPr>
      <w:hidden/>
    </w:tr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rPr>
      <w:hidden/>
    </w:tr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rPr>
        <w:hidden/>
      </w:trPr>
      <w:tcPr>
        <w:shd w:val="clear" w:color="F2F2F2" w:themeColor="text1" w:themeTint="0D" w:fill="F2F2F2" w:themeFill="text1" w:themeFillTint="0D"/>
      </w:tcPr>
    </w:tblStylePr>
    <w:tblStylePr w:type="band1Horz">
      <w:tblPr/>
      <w:trPr>
        <w:hidden/>
      </w:tr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rPr>
        <w:hidden/>
      </w:trPr>
      <w:tcPr>
        <w:tcBorders>
          <w:left w:val="single" w:sz="4" w:space="0" w:color="000000" w:themeColor="text1"/>
          <w:right w:val="single" w:sz="4" w:space="0" w:color="000000" w:themeColor="text1"/>
        </w:tcBorders>
      </w:tcPr>
    </w:tblStylePr>
    <w:tblStylePr w:type="band2Vert">
      <w:tblPr/>
      <w:trPr>
        <w:hidden/>
      </w:trPr>
      <w:tcPr>
        <w:tcBorders>
          <w:left w:val="single" w:sz="4" w:space="0" w:color="000000" w:themeColor="text1"/>
          <w:right w:val="single" w:sz="4" w:space="0" w:color="000000" w:themeColor="text1"/>
        </w:tcBorders>
      </w:tcPr>
    </w:tblStylePr>
    <w:tblStylePr w:type="band1Horz">
      <w:tblPr/>
      <w:trPr>
        <w:hidden/>
      </w:tr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aps/>
        <w:color w:val="404040"/>
      </w:rPr>
      <w:tblPr/>
      <w:trPr>
        <w:hidden/>
      </w:tr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rPr>
        <w:hidden/>
      </w:tr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rPr>
        <w:hidden/>
      </w:trPr>
      <w:tcPr>
        <w:shd w:val="clear" w:color="F2F2F2" w:themeColor="text1" w:themeTint="0D" w:fill="F2F2F2" w:themeFill="text1" w:themeFillTint="0D"/>
      </w:tcPr>
    </w:tblStylePr>
    <w:tblStylePr w:type="band1Horz">
      <w:rPr>
        <w:rFonts w:ascii="Arial" w:hAnsi="Arial"/>
        <w:color w:val="404040"/>
        <w:sz w:val="22"/>
      </w:rPr>
      <w:tblPr/>
      <w:trPr>
        <w:hidden/>
      </w:tr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2F2F2" w:themeColor="text1" w:themeTint="0D" w:fill="F2F2F2" w:themeFill="text1" w:themeFillTint="0D"/>
      </w:tcPr>
    </w:tblStylePr>
    <w:tblStylePr w:type="band1Horz">
      <w:rPr>
        <w:rFonts w:ascii="Arial" w:hAnsi="Arial"/>
        <w:color w:val="404040"/>
        <w:sz w:val="22"/>
      </w:rPr>
      <w:tblPr/>
      <w:trPr>
        <w:hidden/>
      </w:tr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i/>
        <w:color w:val="404040"/>
      </w:rPr>
      <w:tblPr/>
      <w:trPr>
        <w:hidden/>
      </w:tr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rPr>
        <w:hidden/>
      </w:tr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rPr>
        <w:hidden/>
      </w:trPr>
      <w:tcPr>
        <w:tcBorders>
          <w:right w:val="single" w:sz="4" w:space="0" w:color="404040"/>
        </w:tcBorders>
        <w:shd w:val="clear" w:color="FFFFFF" w:fill="auto"/>
      </w:tcPr>
    </w:tblStylePr>
    <w:tblStylePr w:type="lastCol">
      <w:rPr>
        <w:i/>
        <w:color w:val="404040"/>
      </w:rPr>
      <w:tblPr/>
      <w:trPr>
        <w:hidden/>
      </w:trPr>
      <w:tcPr>
        <w:tcBorders>
          <w:left w:val="single" w:sz="4" w:space="0" w:color="404040"/>
        </w:tcBorders>
        <w:shd w:val="clear" w:color="FFFFFF" w:fill="auto"/>
      </w:tcPr>
    </w:tblStylePr>
    <w:tblStylePr w:type="band1Vert">
      <w:rPr>
        <w:rFonts w:ascii="Arial" w:hAnsi="Arial"/>
        <w:color w:val="404040"/>
        <w:sz w:val="22"/>
      </w:rPr>
      <w:tblPr/>
      <w:trPr>
        <w:hidden/>
      </w:trPr>
      <w:tcPr>
        <w:shd w:val="clear" w:color="F2F2F2" w:themeColor="text1" w:themeTint="0D" w:fill="F2F2F2" w:themeFill="text1" w:themeFillTint="0D"/>
      </w:tcPr>
    </w:tblStylePr>
    <w:tblStylePr w:type="band1Horz">
      <w:rPr>
        <w:rFonts w:ascii="Arial" w:hAnsi="Arial"/>
        <w:color w:val="404040"/>
        <w:sz w:val="22"/>
      </w:rPr>
      <w:tblPr/>
      <w:trPr>
        <w:hidden/>
      </w:tr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insideH w:val="single" w:sz="4" w:space="0" w:color="CADCF2" w:themeColor="accent1" w:themeTint="67"/>
        <w:insideV w:val="single" w:sz="4" w:space="0" w:color="CADCF2" w:themeColor="accent1"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B3CDE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insideH w:val="single" w:sz="4" w:space="0" w:color="F6C5C4" w:themeColor="accent2" w:themeTint="67"/>
        <w:insideV w:val="single" w:sz="4" w:space="0" w:color="F6C5C4" w:themeColor="accent2"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F2ACAA"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insideH w:val="single" w:sz="4" w:space="0" w:color="DCEEC6" w:themeColor="accent3" w:themeTint="67"/>
        <w:insideV w:val="single" w:sz="4" w:space="0" w:color="DCEEC6" w:themeColor="accent3"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CCE7A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insideH w:val="single" w:sz="4" w:space="0" w:color="DBD0E9" w:themeColor="accent4" w:themeTint="67"/>
        <w:insideV w:val="single" w:sz="4" w:space="0" w:color="DBD0E9" w:themeColor="accent4"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CBBBD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insideH w:val="single" w:sz="4" w:space="0" w:color="C8E9F3" w:themeColor="accent5" w:themeTint="67"/>
        <w:insideV w:val="single" w:sz="4" w:space="0" w:color="C8E9F3" w:themeColor="accent5"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AFE0E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insideH w:val="single" w:sz="4" w:space="0" w:color="FDE5D0" w:themeColor="accent6" w:themeTint="67"/>
        <w:insideV w:val="single" w:sz="4" w:space="0" w:color="FDE5D0" w:themeColor="accent6" w:themeTint="67"/>
      </w:tblBorders>
      <w:tblCellMar>
        <w:top w:w="0" w:type="dxa"/>
        <w:left w:w="108" w:type="dxa"/>
        <w:bottom w:w="0" w:type="dxa"/>
        <w:right w:w="108" w:type="dxa"/>
      </w:tblCellMar>
    </w:tblPr>
    <w:trPr>
      <w:hidden/>
    </w:trPr>
    <w:tblStylePr w:type="firstRow">
      <w:rPr>
        <w:b/>
        <w:color w:val="404040"/>
      </w:rPr>
      <w:tblPr/>
      <w:trPr>
        <w:hidden/>
      </w:trPr>
      <w:tcPr>
        <w:tcBorders>
          <w:bottom w:val="single" w:sz="12" w:space="0" w:color="FDD9BB"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rPr>
        <w:hidden/>
      </w:trPr>
      <w:tcPr>
        <w:tc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rPr>
        <w:hidden/>
      </w:tr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CBCBCB" w:themeColor="text1" w:themeTint="34" w:fill="CBCBCB" w:themeFill="text1" w:themeFillTint="34"/>
      </w:tcPr>
    </w:tblStylePr>
    <w:tblStylePr w:type="band1Horz">
      <w:rPr>
        <w:rFonts w:ascii="Arial" w:hAnsi="Arial"/>
        <w:color w:val="404040"/>
        <w:sz w:val="22"/>
      </w:rPr>
      <w:tblPr/>
      <w:trPr>
        <w:hidden/>
      </w:tr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88B0E1" w:themeColor="accent1" w:themeTint="EA"/>
        <w:insideH w:val="single" w:sz="4" w:space="0" w:color="88B0E1" w:themeColor="accent1" w:themeTint="EA"/>
        <w:insideV w:val="single" w:sz="4" w:space="0" w:color="88B0E1" w:themeColor="accent1" w:themeTint="EA"/>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88B0E1" w:themeColor="accent1" w:themeTint="EA"/>
          <w:right w:val="none" w:sz="4" w:space="0" w:color="000000"/>
        </w:tcBorders>
        <w:shd w:val="clear" w:color="FFFFFF" w:fill="auto"/>
      </w:tcPr>
    </w:tblStylePr>
    <w:tblStylePr w:type="lastRow">
      <w:rPr>
        <w:b/>
        <w:color w:val="404040"/>
      </w:rPr>
      <w:tblPr/>
      <w:trPr>
        <w:hidden/>
      </w:trPr>
      <w:tcPr>
        <w:tcBorders>
          <w:top w:val="single" w:sz="4" w:space="0" w:color="88B0E1"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4EDF8" w:themeColor="accent1" w:themeTint="34" w:fill="E4EDF8" w:themeFill="accent1" w:themeFillTint="34"/>
      </w:tcPr>
    </w:tblStylePr>
    <w:tblStylePr w:type="band1Horz">
      <w:rPr>
        <w:rFonts w:ascii="Arial" w:hAnsi="Arial"/>
        <w:color w:val="404040"/>
        <w:sz w:val="22"/>
      </w:rPr>
      <w:tblPr/>
      <w:trPr>
        <w:hidden/>
      </w:trPr>
      <w:tcPr>
        <w:shd w:val="clear" w:color="E4EDF8" w:themeColor="accent1" w:themeTint="34" w:fill="E4EDF8"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F2ABA9" w:themeColor="accent2" w:themeTint="97"/>
        <w:insideH w:val="single" w:sz="4" w:space="0" w:color="F2ABA9" w:themeColor="accent2" w:themeTint="97"/>
        <w:insideV w:val="single" w:sz="4" w:space="0" w:color="F2ABA9" w:themeColor="accent2" w:themeTint="97"/>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F2ABA9" w:themeColor="accent2" w:themeTint="97"/>
          <w:right w:val="none" w:sz="4" w:space="0" w:color="000000"/>
        </w:tcBorders>
        <w:shd w:val="clear" w:color="FFFFFF" w:fill="auto"/>
      </w:tcPr>
    </w:tblStylePr>
    <w:tblStylePr w:type="lastRow">
      <w:rPr>
        <w:b/>
        <w:color w:val="404040"/>
      </w:rPr>
      <w:tblPr/>
      <w:trPr>
        <w:hidden/>
      </w:trPr>
      <w:tcPr>
        <w:tcBorders>
          <w:top w:val="single" w:sz="4" w:space="0" w:color="F2ABA9"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BE2E2" w:themeColor="accent2" w:themeTint="32" w:fill="FBE2E2" w:themeFill="accent2" w:themeFillTint="32"/>
      </w:tcPr>
    </w:tblStylePr>
    <w:tblStylePr w:type="band1Horz">
      <w:rPr>
        <w:rFonts w:ascii="Arial" w:hAnsi="Arial"/>
        <w:color w:val="404040"/>
        <w:sz w:val="22"/>
      </w:rPr>
      <w:tblPr/>
      <w:trPr>
        <w:hidden/>
      </w:trPr>
      <w:tcPr>
        <w:shd w:val="clear" w:color="FBE2E2" w:themeColor="accent2" w:themeTint="32" w:fill="FBE2E2"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A9D774" w:themeColor="accent3" w:themeTint="FE"/>
        <w:insideH w:val="single" w:sz="4" w:space="0" w:color="A9D774" w:themeColor="accent3" w:themeTint="FE"/>
        <w:insideV w:val="single" w:sz="4" w:space="0" w:color="A9D774" w:themeColor="accent3" w:themeTint="FE"/>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A9D774" w:themeColor="accent3" w:themeTint="FE"/>
          <w:right w:val="none" w:sz="4" w:space="0" w:color="000000"/>
        </w:tcBorders>
        <w:shd w:val="clear" w:color="FFFFFF" w:fill="auto"/>
      </w:tcPr>
    </w:tblStylePr>
    <w:tblStylePr w:type="lastRow">
      <w:rPr>
        <w:b/>
        <w:color w:val="404040"/>
      </w:rPr>
      <w:tblPr/>
      <w:trPr>
        <w:hidden/>
      </w:trPr>
      <w:tcPr>
        <w:tcBorders>
          <w:top w:val="single" w:sz="4" w:space="0" w:color="A9D77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DF6E2" w:themeColor="accent3" w:themeTint="34" w:fill="EDF6E2" w:themeFill="accent3" w:themeFillTint="34"/>
      </w:tcPr>
    </w:tblStylePr>
    <w:tblStylePr w:type="band1Horz">
      <w:rPr>
        <w:rFonts w:ascii="Arial" w:hAnsi="Arial"/>
        <w:color w:val="404040"/>
        <w:sz w:val="22"/>
      </w:rPr>
      <w:tblPr/>
      <w:trPr>
        <w:hidden/>
      </w:trPr>
      <w:tcPr>
        <w:shd w:val="clear" w:color="EDF6E2" w:themeColor="accent3" w:themeTint="34" w:fill="EDF6E2"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C9B8DE" w:themeColor="accent4" w:themeTint="9A"/>
        <w:insideH w:val="single" w:sz="4" w:space="0" w:color="C9B8DE" w:themeColor="accent4" w:themeTint="9A"/>
        <w:insideV w:val="single" w:sz="4" w:space="0" w:color="C9B8DE" w:themeColor="accent4" w:themeTint="9A"/>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C9B8DE" w:themeColor="accent4" w:themeTint="9A"/>
          <w:right w:val="none" w:sz="4" w:space="0" w:color="000000"/>
        </w:tcBorders>
        <w:shd w:val="clear" w:color="FFFFFF" w:fill="auto"/>
      </w:tcPr>
    </w:tblStylePr>
    <w:tblStylePr w:type="lastRow">
      <w:rPr>
        <w:b/>
        <w:color w:val="404040"/>
      </w:rPr>
      <w:tblPr/>
      <w:trPr>
        <w:hidden/>
      </w:trPr>
      <w:tcPr>
        <w:tcBorders>
          <w:top w:val="single" w:sz="4" w:space="0" w:color="C9B8DE"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DE7F4" w:themeColor="accent4" w:themeTint="34" w:fill="EDE7F4" w:themeFill="accent4" w:themeFillTint="34"/>
      </w:tcPr>
    </w:tblStylePr>
    <w:tblStylePr w:type="band1Horz">
      <w:rPr>
        <w:rFonts w:ascii="Arial" w:hAnsi="Arial"/>
        <w:color w:val="404040"/>
        <w:sz w:val="22"/>
      </w:rPr>
      <w:tblPr/>
      <w:trPr>
        <w:hidden/>
      </w:trPr>
      <w:tcPr>
        <w:shd w:val="clear" w:color="EDE7F4" w:themeColor="accent4" w:themeTint="34" w:fill="EDE7F4"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78CBE1" w:themeColor="accent5"/>
        <w:insideH w:val="single" w:sz="4" w:space="0" w:color="78CBE1" w:themeColor="accent5"/>
        <w:insideV w:val="single" w:sz="4" w:space="0" w:color="78CBE1" w:themeColor="accent5"/>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78CBE1" w:themeColor="accent5"/>
          <w:right w:val="none" w:sz="4" w:space="0" w:color="000000"/>
        </w:tcBorders>
        <w:shd w:val="clear" w:color="FFFFFF" w:fill="auto"/>
      </w:tcPr>
    </w:tblStylePr>
    <w:tblStylePr w:type="lastRow">
      <w:rPr>
        <w:b/>
        <w:color w:val="404040"/>
      </w:rPr>
      <w:tblPr/>
      <w:trPr>
        <w:hidden/>
      </w:trPr>
      <w:tcPr>
        <w:tcBorders>
          <w:top w:val="single" w:sz="4" w:space="0" w:color="78CBE1"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3F4F9" w:themeColor="accent5" w:themeTint="34" w:fill="E3F4F9" w:themeFill="accent5" w:themeFillTint="34"/>
      </w:tcPr>
    </w:tblStylePr>
    <w:tblStylePr w:type="band1Horz">
      <w:rPr>
        <w:rFonts w:ascii="Arial" w:hAnsi="Arial"/>
        <w:color w:val="404040"/>
        <w:sz w:val="22"/>
      </w:rPr>
      <w:tblPr/>
      <w:trPr>
        <w:hidden/>
      </w:trPr>
      <w:tcPr>
        <w:shd w:val="clear" w:color="E3F4F9" w:themeColor="accent5" w:themeTint="34" w:fill="E3F4F9"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CBF8C" w:themeColor="accent6"/>
        <w:insideH w:val="single" w:sz="4" w:space="0" w:color="FCBF8C" w:themeColor="accent6"/>
        <w:insideV w:val="single" w:sz="4" w:space="0" w:color="FCBF8C" w:themeColor="accent6"/>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12" w:space="0" w:color="FCBF8C" w:themeColor="accent6"/>
          <w:right w:val="none" w:sz="4" w:space="0" w:color="000000"/>
        </w:tcBorders>
        <w:shd w:val="clear" w:color="FFFFFF" w:fill="auto"/>
      </w:tcPr>
    </w:tblStylePr>
    <w:tblStylePr w:type="lastRow">
      <w:rPr>
        <w:b/>
        <w:color w:val="404040"/>
      </w:rPr>
      <w:tblPr/>
      <w:trPr>
        <w:hidden/>
      </w:trPr>
      <w:tcPr>
        <w:tcBorders>
          <w:top w:val="single" w:sz="4" w:space="0" w:color="FCBF8C"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EF1E7" w:themeColor="accent6" w:themeTint="34" w:fill="FEF1E7" w:themeFill="accent6" w:themeFillTint="34"/>
      </w:tcPr>
    </w:tblStylePr>
    <w:tblStylePr w:type="band1Horz">
      <w:rPr>
        <w:rFonts w:ascii="Arial" w:hAnsi="Arial"/>
        <w:color w:val="404040"/>
        <w:sz w:val="22"/>
      </w:rPr>
      <w:tblPr/>
      <w:trPr>
        <w:hidden/>
      </w:trPr>
      <w:tcPr>
        <w:shd w:val="clear" w:color="FEF1E7" w:themeColor="accent6" w:themeTint="34" w:fill="FEF1E7"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CBCBCB" w:themeColor="text1" w:themeTint="34" w:fill="CBCBCB" w:themeFill="text1" w:themeFillTint="34"/>
      </w:tcPr>
    </w:tblStylePr>
    <w:tblStylePr w:type="band1Horz">
      <w:rPr>
        <w:rFonts w:ascii="Arial" w:hAnsi="Arial"/>
        <w:color w:val="404040"/>
        <w:sz w:val="22"/>
      </w:rPr>
      <w:tblPr/>
      <w:trPr>
        <w:hidden/>
      </w:tr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88B0E1" w:themeColor="accent1" w:themeTint="EA"/>
        <w:insideH w:val="single" w:sz="4" w:space="0" w:color="88B0E1" w:themeColor="accent1" w:themeTint="EA"/>
        <w:insideV w:val="single" w:sz="4" w:space="0" w:color="88B0E1" w:themeColor="accent1" w:themeTint="EA"/>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E4EDF8" w:themeColor="accent1" w:themeTint="34" w:fill="E4EDF8" w:themeFill="accent1" w:themeFillTint="34"/>
      </w:tcPr>
    </w:tblStylePr>
    <w:tblStylePr w:type="band1Horz">
      <w:rPr>
        <w:rFonts w:ascii="Arial" w:hAnsi="Arial"/>
        <w:color w:val="404040"/>
        <w:sz w:val="22"/>
      </w:rPr>
      <w:tblPr/>
      <w:trPr>
        <w:hidden/>
      </w:trPr>
      <w:tcPr>
        <w:shd w:val="clear" w:color="E4EDF8" w:themeColor="accent1" w:themeTint="34" w:fill="E4EDF8"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F2ABA9" w:themeColor="accent2" w:themeTint="97"/>
        <w:insideH w:val="single" w:sz="4" w:space="0" w:color="F2ABA9" w:themeColor="accent2" w:themeTint="97"/>
        <w:insideV w:val="single" w:sz="4" w:space="0" w:color="F2ABA9" w:themeColor="accent2" w:themeTint="97"/>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FBE2E2" w:themeColor="accent2" w:themeTint="32" w:fill="FBE2E2" w:themeFill="accent2" w:themeFillTint="32"/>
      </w:tcPr>
    </w:tblStylePr>
    <w:tblStylePr w:type="band1Horz">
      <w:rPr>
        <w:rFonts w:ascii="Arial" w:hAnsi="Arial"/>
        <w:color w:val="404040"/>
        <w:sz w:val="22"/>
      </w:rPr>
      <w:tblPr/>
      <w:trPr>
        <w:hidden/>
      </w:trPr>
      <w:tcPr>
        <w:shd w:val="clear" w:color="FBE2E2" w:themeColor="accent2" w:themeTint="32" w:fill="FBE2E2"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A9D774" w:themeColor="accent3" w:themeTint="FE"/>
        <w:insideH w:val="single" w:sz="4" w:space="0" w:color="A9D774" w:themeColor="accent3" w:themeTint="FE"/>
        <w:insideV w:val="single" w:sz="4" w:space="0" w:color="A9D774" w:themeColor="accent3" w:themeTint="FE"/>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EDF6E2" w:themeColor="accent3" w:themeTint="34" w:fill="EDF6E2" w:themeFill="accent3" w:themeFillTint="34"/>
      </w:tcPr>
    </w:tblStylePr>
    <w:tblStylePr w:type="band1Horz">
      <w:rPr>
        <w:rFonts w:ascii="Arial" w:hAnsi="Arial"/>
        <w:color w:val="404040"/>
        <w:sz w:val="22"/>
      </w:rPr>
      <w:tblPr/>
      <w:trPr>
        <w:hidden/>
      </w:trPr>
      <w:tcPr>
        <w:shd w:val="clear" w:color="EDF6E2" w:themeColor="accent3" w:themeTint="34" w:fill="EDF6E2"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C9B8DE" w:themeColor="accent4" w:themeTint="9A"/>
        <w:insideH w:val="single" w:sz="4" w:space="0" w:color="C9B8DE" w:themeColor="accent4" w:themeTint="9A"/>
        <w:insideV w:val="single" w:sz="4" w:space="0" w:color="C9B8DE" w:themeColor="accent4" w:themeTint="9A"/>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EDE7F4" w:themeColor="accent4" w:themeTint="34" w:fill="EDE7F4" w:themeFill="accent4" w:themeFillTint="34"/>
      </w:tcPr>
    </w:tblStylePr>
    <w:tblStylePr w:type="band1Horz">
      <w:rPr>
        <w:rFonts w:ascii="Arial" w:hAnsi="Arial"/>
        <w:color w:val="404040"/>
        <w:sz w:val="22"/>
      </w:rPr>
      <w:tblPr/>
      <w:trPr>
        <w:hidden/>
      </w:trPr>
      <w:tcPr>
        <w:shd w:val="clear" w:color="EDE7F4" w:themeColor="accent4" w:themeTint="34" w:fill="EDE7F4"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78CBE1" w:themeColor="accent5"/>
        <w:insideH w:val="single" w:sz="4" w:space="0" w:color="78CBE1" w:themeColor="accent5"/>
        <w:insideV w:val="single" w:sz="4" w:space="0" w:color="78CBE1" w:themeColor="accent5"/>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E3F4F9" w:themeColor="accent5" w:themeTint="34" w:fill="E3F4F9" w:themeFill="accent5" w:themeFillTint="34"/>
      </w:tcPr>
    </w:tblStylePr>
    <w:tblStylePr w:type="band1Horz">
      <w:rPr>
        <w:rFonts w:ascii="Arial" w:hAnsi="Arial"/>
        <w:color w:val="404040"/>
        <w:sz w:val="22"/>
      </w:rPr>
      <w:tblPr/>
      <w:trPr>
        <w:hidden/>
      </w:trPr>
      <w:tcPr>
        <w:shd w:val="clear" w:color="E3F4F9" w:themeColor="accent5" w:themeTint="34" w:fill="E3F4F9"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CBF8C" w:themeColor="accent6"/>
        <w:insideH w:val="single" w:sz="4" w:space="0" w:color="FCBF8C" w:themeColor="accent6"/>
        <w:insideV w:val="single" w:sz="4" w:space="0" w:color="FCBF8C" w:themeColor="accent6"/>
      </w:tblBorders>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rPr>
        <w:hidden/>
      </w:tr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rPr>
        <w:hidden/>
      </w:trPr>
      <w:tcPr>
        <w:shd w:val="clear" w:color="FEF1E7" w:themeColor="accent6" w:themeTint="34" w:fill="FEF1E7" w:themeFill="accent6" w:themeFillTint="34"/>
      </w:tcPr>
    </w:tblStylePr>
    <w:tblStylePr w:type="band1Horz">
      <w:rPr>
        <w:rFonts w:ascii="Arial" w:hAnsi="Arial"/>
        <w:color w:val="404040"/>
        <w:sz w:val="22"/>
      </w:rPr>
      <w:tblPr/>
      <w:trPr>
        <w:hidden/>
      </w:trPr>
      <w:tcPr>
        <w:shd w:val="clear" w:color="FEF1E7" w:themeColor="accent6" w:themeTint="34" w:fill="FEF1E7"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rPr>
        <w:hidden/>
      </w:tr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CBCBCB" w:themeColor="text1" w:themeTint="34" w:fill="CBCBCB" w:themeFill="text1" w:themeFillTint="34"/>
      </w:tcPr>
    </w:tblStylePr>
    <w:tblStylePr w:type="band1Horz">
      <w:rPr>
        <w:rFonts w:ascii="Arial" w:hAnsi="Arial"/>
        <w:color w:val="404040"/>
        <w:sz w:val="22"/>
      </w:rPr>
      <w:tblPr/>
      <w:trPr>
        <w:hidden/>
      </w:tr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B6CEED" w:themeColor="accent1" w:themeTint="90"/>
        <w:left w:val="single" w:sz="4" w:space="0" w:color="B6CEED" w:themeColor="accent1" w:themeTint="90"/>
        <w:bottom w:val="single" w:sz="4" w:space="0" w:color="B6CEED" w:themeColor="accent1" w:themeTint="90"/>
        <w:right w:val="single" w:sz="4" w:space="0" w:color="B6CEED" w:themeColor="accent1" w:themeTint="90"/>
        <w:insideH w:val="single" w:sz="4" w:space="0" w:color="B6CEED" w:themeColor="accent1" w:themeTint="90"/>
        <w:insideV w:val="single" w:sz="4" w:space="0" w:color="B6CEED" w:themeColor="accent1"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88B0E1" w:themeColor="accent1" w:themeTint="EA"/>
          <w:left w:val="single" w:sz="4" w:space="0" w:color="88B0E1" w:themeColor="accent1" w:themeTint="EA"/>
          <w:bottom w:val="single" w:sz="4" w:space="0" w:color="88B0E1" w:themeColor="accent1" w:themeTint="EA"/>
          <w:right w:val="single" w:sz="4" w:space="0" w:color="88B0E1" w:themeColor="accent1" w:themeTint="EA"/>
        </w:tcBorders>
        <w:shd w:val="clear" w:color="88B0E1" w:themeColor="accent1" w:themeTint="EA" w:fill="88B0E1" w:themeFill="accent1" w:themeFillTint="EA"/>
      </w:tcPr>
    </w:tblStylePr>
    <w:tblStylePr w:type="lastRow">
      <w:rPr>
        <w:b/>
        <w:color w:val="404040"/>
      </w:rPr>
      <w:tblPr/>
      <w:trPr>
        <w:hidden/>
      </w:trPr>
      <w:tcPr>
        <w:tcBorders>
          <w:top w:val="single" w:sz="4" w:space="0" w:color="88B0E1"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5EEF8" w:themeColor="accent1" w:themeTint="32" w:fill="E5EEF8" w:themeFill="accent1" w:themeFillTint="32"/>
      </w:tcPr>
    </w:tblStylePr>
    <w:tblStylePr w:type="band1Horz">
      <w:rPr>
        <w:rFonts w:ascii="Arial" w:hAnsi="Arial"/>
        <w:color w:val="404040"/>
        <w:sz w:val="22"/>
      </w:rPr>
      <w:tblPr/>
      <w:trPr>
        <w:hidden/>
      </w:trPr>
      <w:tcPr>
        <w:shd w:val="clear" w:color="E5EEF8" w:themeColor="accent1" w:themeTint="32" w:fill="E5EEF8"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F3AFAD" w:themeColor="accent2" w:themeTint="90"/>
        <w:left w:val="single" w:sz="4" w:space="0" w:color="F3AFAD" w:themeColor="accent2" w:themeTint="90"/>
        <w:bottom w:val="single" w:sz="4" w:space="0" w:color="F3AFAD" w:themeColor="accent2" w:themeTint="90"/>
        <w:right w:val="single" w:sz="4" w:space="0" w:color="F3AFAD" w:themeColor="accent2" w:themeTint="90"/>
        <w:insideH w:val="single" w:sz="4" w:space="0" w:color="F3AFAD" w:themeColor="accent2" w:themeTint="90"/>
        <w:insideV w:val="single" w:sz="4" w:space="0" w:color="F3AFAD" w:themeColor="accent2"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tcBorders>
        <w:shd w:val="clear" w:color="F2ABA9" w:themeColor="accent2" w:themeTint="97" w:fill="F2ABA9" w:themeFill="accent2" w:themeFillTint="97"/>
      </w:tcPr>
    </w:tblStylePr>
    <w:tblStylePr w:type="lastRow">
      <w:rPr>
        <w:b/>
        <w:color w:val="404040"/>
      </w:rPr>
      <w:tblPr/>
      <w:trPr>
        <w:hidden/>
      </w:trPr>
      <w:tcPr>
        <w:tcBorders>
          <w:top w:val="single" w:sz="4" w:space="0" w:color="F2ABA9"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BE2E2" w:themeColor="accent2" w:themeTint="32" w:fill="FBE2E2" w:themeFill="accent2" w:themeFillTint="32"/>
      </w:tcPr>
    </w:tblStylePr>
    <w:tblStylePr w:type="band1Horz">
      <w:rPr>
        <w:rFonts w:ascii="Arial" w:hAnsi="Arial"/>
        <w:color w:val="404040"/>
        <w:sz w:val="22"/>
      </w:rPr>
      <w:tblPr/>
      <w:trPr>
        <w:hidden/>
      </w:trPr>
      <w:tcPr>
        <w:shd w:val="clear" w:color="FBE2E2" w:themeColor="accent2" w:themeTint="32" w:fill="FBE2E2"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EE8B0" w:themeColor="accent3" w:themeTint="90"/>
        <w:left w:val="single" w:sz="4" w:space="0" w:color="CEE8B0" w:themeColor="accent3" w:themeTint="90"/>
        <w:bottom w:val="single" w:sz="4" w:space="0" w:color="CEE8B0" w:themeColor="accent3" w:themeTint="90"/>
        <w:right w:val="single" w:sz="4" w:space="0" w:color="CEE8B0" w:themeColor="accent3" w:themeTint="90"/>
        <w:insideH w:val="single" w:sz="4" w:space="0" w:color="CEE8B0" w:themeColor="accent3" w:themeTint="90"/>
        <w:insideV w:val="single" w:sz="4" w:space="0" w:color="CEE8B0" w:themeColor="accent3"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A9D774" w:themeColor="accent3" w:themeTint="FE"/>
          <w:left w:val="single" w:sz="4" w:space="0" w:color="A9D774" w:themeColor="accent3" w:themeTint="FE"/>
          <w:bottom w:val="single" w:sz="4" w:space="0" w:color="A9D774" w:themeColor="accent3" w:themeTint="FE"/>
          <w:right w:val="single" w:sz="4" w:space="0" w:color="A9D774" w:themeColor="accent3" w:themeTint="FE"/>
        </w:tcBorders>
        <w:shd w:val="clear" w:color="A9D774" w:themeColor="accent3" w:themeTint="FE" w:fill="A9D774" w:themeFill="accent3" w:themeFillTint="FE"/>
      </w:tcPr>
    </w:tblStylePr>
    <w:tblStylePr w:type="lastRow">
      <w:rPr>
        <w:b/>
        <w:color w:val="404040"/>
      </w:rPr>
      <w:tblPr/>
      <w:trPr>
        <w:hidden/>
      </w:trPr>
      <w:tcPr>
        <w:tcBorders>
          <w:top w:val="single" w:sz="4" w:space="0" w:color="A9D77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DF6E2" w:themeColor="accent3" w:themeTint="34" w:fill="EDF6E2" w:themeFill="accent3" w:themeFillTint="34"/>
      </w:tcPr>
    </w:tblStylePr>
    <w:tblStylePr w:type="band1Horz">
      <w:rPr>
        <w:rFonts w:ascii="Arial" w:hAnsi="Arial"/>
        <w:color w:val="404040"/>
        <w:sz w:val="22"/>
      </w:rPr>
      <w:tblPr/>
      <w:trPr>
        <w:hidden/>
      </w:trPr>
      <w:tcPr>
        <w:shd w:val="clear" w:color="EDF6E2" w:themeColor="accent3" w:themeTint="34" w:fill="EDF6E2"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CDBDE0" w:themeColor="accent4" w:themeTint="90"/>
        <w:left w:val="single" w:sz="4" w:space="0" w:color="CDBDE0" w:themeColor="accent4" w:themeTint="90"/>
        <w:bottom w:val="single" w:sz="4" w:space="0" w:color="CDBDE0" w:themeColor="accent4" w:themeTint="90"/>
        <w:right w:val="single" w:sz="4" w:space="0" w:color="CDBDE0" w:themeColor="accent4" w:themeTint="90"/>
        <w:insideH w:val="single" w:sz="4" w:space="0" w:color="CDBDE0" w:themeColor="accent4" w:themeTint="90"/>
        <w:insideV w:val="single" w:sz="4" w:space="0" w:color="CDBDE0" w:themeColor="accent4"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tcBorders>
        <w:shd w:val="clear" w:color="C9B8DE" w:themeColor="accent4" w:themeTint="9A" w:fill="C9B8DE" w:themeFill="accent4" w:themeFillTint="9A"/>
      </w:tcPr>
    </w:tblStylePr>
    <w:tblStylePr w:type="lastRow">
      <w:rPr>
        <w:b/>
        <w:color w:val="404040"/>
      </w:rPr>
      <w:tblPr/>
      <w:trPr>
        <w:hidden/>
      </w:trPr>
      <w:tcPr>
        <w:tcBorders>
          <w:top w:val="single" w:sz="4" w:space="0" w:color="C9B8DE"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DE7F4" w:themeColor="accent4" w:themeTint="34" w:fill="EDE7F4" w:themeFill="accent4" w:themeFillTint="34"/>
      </w:tcPr>
    </w:tblStylePr>
    <w:tblStylePr w:type="band1Horz">
      <w:rPr>
        <w:rFonts w:ascii="Arial" w:hAnsi="Arial"/>
        <w:color w:val="404040"/>
        <w:sz w:val="22"/>
      </w:rPr>
      <w:tblPr/>
      <w:trPr>
        <w:hidden/>
      </w:trPr>
      <w:tcPr>
        <w:shd w:val="clear" w:color="EDE7F4" w:themeColor="accent4" w:themeTint="34" w:fill="EDE7F4"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B2E1EE" w:themeColor="accent5" w:themeTint="90"/>
        <w:left w:val="single" w:sz="4" w:space="0" w:color="B2E1EE" w:themeColor="accent5" w:themeTint="90"/>
        <w:bottom w:val="single" w:sz="4" w:space="0" w:color="B2E1EE" w:themeColor="accent5" w:themeTint="90"/>
        <w:right w:val="single" w:sz="4" w:space="0" w:color="B2E1EE" w:themeColor="accent5" w:themeTint="90"/>
        <w:insideH w:val="single" w:sz="4" w:space="0" w:color="B2E1EE" w:themeColor="accent5" w:themeTint="90"/>
        <w:insideV w:val="single" w:sz="4" w:space="0" w:color="B2E1EE" w:themeColor="accent5"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78CBE1" w:themeColor="accent5"/>
          <w:left w:val="single" w:sz="4" w:space="0" w:color="78CBE1" w:themeColor="accent5"/>
          <w:bottom w:val="single" w:sz="4" w:space="0" w:color="78CBE1" w:themeColor="accent5"/>
          <w:right w:val="single" w:sz="4" w:space="0" w:color="78CBE1" w:themeColor="accent5"/>
        </w:tcBorders>
        <w:shd w:val="clear" w:color="78CBE1" w:themeColor="accent5" w:fill="78CBE1" w:themeFill="accent5"/>
      </w:tcPr>
    </w:tblStylePr>
    <w:tblStylePr w:type="lastRow">
      <w:rPr>
        <w:b/>
        <w:color w:val="404040"/>
      </w:rPr>
      <w:tblPr/>
      <w:trPr>
        <w:hidden/>
      </w:trPr>
      <w:tcPr>
        <w:tcBorders>
          <w:top w:val="single" w:sz="4" w:space="0" w:color="78CBE1"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3F4F9" w:themeColor="accent5" w:themeTint="34" w:fill="E3F4F9" w:themeFill="accent5" w:themeFillTint="34"/>
      </w:tcPr>
    </w:tblStylePr>
    <w:tblStylePr w:type="band1Horz">
      <w:rPr>
        <w:rFonts w:ascii="Arial" w:hAnsi="Arial"/>
        <w:color w:val="404040"/>
        <w:sz w:val="22"/>
      </w:rPr>
      <w:tblPr/>
      <w:trPr>
        <w:hidden/>
      </w:trPr>
      <w:tcPr>
        <w:shd w:val="clear" w:color="E3F4F9" w:themeColor="accent5" w:themeTint="34" w:fill="E3F4F9"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DDABE" w:themeColor="accent6" w:themeTint="90"/>
        <w:left w:val="single" w:sz="4" w:space="0" w:color="FDDABE" w:themeColor="accent6" w:themeTint="90"/>
        <w:bottom w:val="single" w:sz="4" w:space="0" w:color="FDDABE" w:themeColor="accent6" w:themeTint="90"/>
        <w:right w:val="single" w:sz="4" w:space="0" w:color="FDDABE" w:themeColor="accent6" w:themeTint="90"/>
        <w:insideH w:val="single" w:sz="4" w:space="0" w:color="FDDABE" w:themeColor="accent6" w:themeTint="90"/>
        <w:insideV w:val="single" w:sz="4" w:space="0" w:color="FDDABE" w:themeColor="accent6"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tcBorders>
          <w:top w:val="single" w:sz="4" w:space="0" w:color="FCBF8C" w:themeColor="accent6"/>
          <w:left w:val="single" w:sz="4" w:space="0" w:color="FCBF8C" w:themeColor="accent6"/>
          <w:bottom w:val="single" w:sz="4" w:space="0" w:color="FCBF8C" w:themeColor="accent6"/>
          <w:right w:val="single" w:sz="4" w:space="0" w:color="FCBF8C" w:themeColor="accent6"/>
        </w:tcBorders>
        <w:shd w:val="clear" w:color="FCBF8C" w:themeColor="accent6" w:fill="FCBF8C" w:themeFill="accent6"/>
      </w:tcPr>
    </w:tblStylePr>
    <w:tblStylePr w:type="lastRow">
      <w:rPr>
        <w:b/>
        <w:color w:val="404040"/>
      </w:rPr>
      <w:tblPr/>
      <w:trPr>
        <w:hidden/>
      </w:trPr>
      <w:tcPr>
        <w:tcBorders>
          <w:top w:val="single" w:sz="4" w:space="0" w:color="FCBF8C"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EF1E7" w:themeColor="accent6" w:themeTint="34" w:fill="FEF1E7" w:themeFill="accent6" w:themeFillTint="34"/>
      </w:tcPr>
    </w:tblStylePr>
    <w:tblStylePr w:type="band1Horz">
      <w:rPr>
        <w:rFonts w:ascii="Arial" w:hAnsi="Arial"/>
        <w:color w:val="404040"/>
        <w:sz w:val="22"/>
      </w:rPr>
      <w:tblPr/>
      <w:trPr>
        <w:hidden/>
      </w:trPr>
      <w:tcPr>
        <w:shd w:val="clear" w:color="FEF1E7" w:themeColor="accent6" w:themeTint="34" w:fill="FEF1E7"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000000" w:themeColor="text1" w:fill="000000" w:themeFill="text1"/>
      </w:tcPr>
    </w:tblStylePr>
    <w:tblStylePr w:type="lastRow">
      <w:rPr>
        <w:rFonts w:ascii="Arial" w:hAnsi="Arial"/>
        <w:b/>
        <w:color w:val="FFFFFF"/>
        <w:sz w:val="22"/>
      </w:rPr>
      <w:tblPr/>
      <w:trPr>
        <w:hidden/>
      </w:tr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rPr>
        <w:hidden/>
      </w:trPr>
      <w:tcPr>
        <w:shd w:val="clear" w:color="000000" w:themeColor="text1" w:fill="000000" w:themeFill="text1"/>
      </w:tcPr>
    </w:tblStylePr>
    <w:tblStylePr w:type="lastCol">
      <w:rPr>
        <w:rFonts w:ascii="Arial" w:hAnsi="Arial"/>
        <w:b/>
        <w:color w:val="FFFFFF"/>
        <w:sz w:val="22"/>
      </w:rPr>
      <w:tblPr/>
      <w:trPr>
        <w:hidden/>
      </w:trPr>
      <w:tcPr>
        <w:shd w:val="clear" w:color="000000" w:themeColor="text1" w:fill="000000" w:themeFill="text1"/>
      </w:tcPr>
    </w:tblStylePr>
    <w:tblStylePr w:type="band1Vert">
      <w:tblPr/>
      <w:trPr>
        <w:hidden/>
      </w:trPr>
      <w:tcPr>
        <w:shd w:val="clear" w:color="8A8A8A" w:themeColor="text1" w:themeTint="75" w:fill="8A8A8A" w:themeFill="text1" w:themeFillTint="75"/>
      </w:tcPr>
    </w:tblStylePr>
    <w:tblStylePr w:type="band1Horz">
      <w:tblPr/>
      <w:trPr>
        <w:hidden/>
      </w:tr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4EDF8" w:themeColor="accent1" w:themeTint="34" w:fill="E4EDF8" w:themeFill="accent1" w:themeFillTint="34"/>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7EAADF" w:themeColor="accent1" w:fill="7EAADF" w:themeFill="accent1"/>
      </w:tcPr>
    </w:tblStylePr>
    <w:tblStylePr w:type="lastRow">
      <w:rPr>
        <w:rFonts w:ascii="Arial" w:hAnsi="Arial"/>
        <w:b/>
        <w:color w:val="FFFFFF"/>
        <w:sz w:val="22"/>
      </w:rPr>
      <w:tblPr/>
      <w:trPr>
        <w:hidden/>
      </w:trPr>
      <w:tcPr>
        <w:tcBorders>
          <w:top w:val="single" w:sz="4" w:space="0" w:color="FFFFFF" w:themeColor="light1"/>
        </w:tcBorders>
        <w:shd w:val="clear" w:color="7EAADF" w:themeColor="accent1" w:fill="7EAADF" w:themeFill="accent1"/>
      </w:tcPr>
    </w:tblStylePr>
    <w:tblStylePr w:type="firstCol">
      <w:rPr>
        <w:rFonts w:ascii="Arial" w:hAnsi="Arial"/>
        <w:b/>
        <w:color w:val="FFFFFF"/>
        <w:sz w:val="22"/>
      </w:rPr>
      <w:tblPr/>
      <w:trPr>
        <w:hidden/>
      </w:trPr>
      <w:tcPr>
        <w:shd w:val="clear" w:color="7EAADF" w:themeColor="accent1" w:fill="7EAADF" w:themeFill="accent1"/>
      </w:tcPr>
    </w:tblStylePr>
    <w:tblStylePr w:type="lastCol">
      <w:rPr>
        <w:rFonts w:ascii="Arial" w:hAnsi="Arial"/>
        <w:b/>
        <w:color w:val="FFFFFF"/>
        <w:sz w:val="22"/>
      </w:rPr>
      <w:tblPr/>
      <w:trPr>
        <w:hidden/>
      </w:trPr>
      <w:tcPr>
        <w:shd w:val="clear" w:color="7EAADF" w:themeColor="accent1" w:fill="7EAADF" w:themeFill="accent1"/>
      </w:tcPr>
    </w:tblStylePr>
    <w:tblStylePr w:type="band1Vert">
      <w:tblPr/>
      <w:trPr>
        <w:hidden/>
      </w:trPr>
      <w:tcPr>
        <w:shd w:val="clear" w:color="C3D7F0" w:themeColor="accent1" w:themeTint="75" w:fill="C3D7F0" w:themeFill="accent1" w:themeFillTint="75"/>
      </w:tcPr>
    </w:tblStylePr>
    <w:tblStylePr w:type="band1Horz">
      <w:tblPr/>
      <w:trPr>
        <w:hidden/>
      </w:trPr>
      <w:tcPr>
        <w:shd w:val="clear" w:color="C3D7F0" w:themeColor="accent1" w:themeTint="75" w:fill="C3D7F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2E2" w:themeColor="accent2" w:themeTint="32" w:fill="FBE2E2" w:themeFill="accent2" w:themeFillTint="32"/>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EA726F" w:themeColor="accent2" w:fill="EA726F" w:themeFill="accent2"/>
      </w:tcPr>
    </w:tblStylePr>
    <w:tblStylePr w:type="lastRow">
      <w:rPr>
        <w:rFonts w:ascii="Arial" w:hAnsi="Arial"/>
        <w:b/>
        <w:color w:val="FFFFFF"/>
        <w:sz w:val="22"/>
      </w:rPr>
      <w:tblPr/>
      <w:trPr>
        <w:hidden/>
      </w:trPr>
      <w:tcPr>
        <w:tcBorders>
          <w:top w:val="single" w:sz="4" w:space="0" w:color="FFFFFF" w:themeColor="light1"/>
        </w:tcBorders>
        <w:shd w:val="clear" w:color="EA726F" w:themeColor="accent2" w:fill="EA726F" w:themeFill="accent2"/>
      </w:tcPr>
    </w:tblStylePr>
    <w:tblStylePr w:type="firstCol">
      <w:rPr>
        <w:rFonts w:ascii="Arial" w:hAnsi="Arial"/>
        <w:b/>
        <w:color w:val="FFFFFF"/>
        <w:sz w:val="22"/>
      </w:rPr>
      <w:tblPr/>
      <w:trPr>
        <w:hidden/>
      </w:trPr>
      <w:tcPr>
        <w:shd w:val="clear" w:color="EA726F" w:themeColor="accent2" w:fill="EA726F" w:themeFill="accent2"/>
      </w:tcPr>
    </w:tblStylePr>
    <w:tblStylePr w:type="lastCol">
      <w:rPr>
        <w:rFonts w:ascii="Arial" w:hAnsi="Arial"/>
        <w:b/>
        <w:color w:val="FFFFFF"/>
        <w:sz w:val="22"/>
      </w:rPr>
      <w:tblPr/>
      <w:trPr>
        <w:hidden/>
      </w:trPr>
      <w:tcPr>
        <w:shd w:val="clear" w:color="EA726F" w:themeColor="accent2" w:fill="EA726F" w:themeFill="accent2"/>
      </w:tcPr>
    </w:tblStylePr>
    <w:tblStylePr w:type="band1Vert">
      <w:tblPr/>
      <w:trPr>
        <w:hidden/>
      </w:trPr>
      <w:tcPr>
        <w:shd w:val="clear" w:color="F5BEBC" w:themeColor="accent2" w:themeTint="75" w:fill="F5BEBC" w:themeFill="accent2" w:themeFillTint="75"/>
      </w:tcPr>
    </w:tblStylePr>
    <w:tblStylePr w:type="band1Horz">
      <w:tblPr/>
      <w:trPr>
        <w:hidden/>
      </w:trPr>
      <w:tcPr>
        <w:shd w:val="clear" w:color="F5BEBC" w:themeColor="accent2" w:themeTint="75" w:fill="F5BEBC"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DF6E2" w:themeColor="accent3" w:themeTint="34" w:fill="EDF6E2" w:themeFill="accent3" w:themeFillTint="34"/>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A9D774" w:themeColor="accent3" w:fill="A9D774" w:themeFill="accent3"/>
      </w:tcPr>
    </w:tblStylePr>
    <w:tblStylePr w:type="lastRow">
      <w:rPr>
        <w:rFonts w:ascii="Arial" w:hAnsi="Arial"/>
        <w:b/>
        <w:color w:val="FFFFFF"/>
        <w:sz w:val="22"/>
      </w:rPr>
      <w:tblPr/>
      <w:trPr>
        <w:hidden/>
      </w:trPr>
      <w:tcPr>
        <w:tcBorders>
          <w:top w:val="single" w:sz="4" w:space="0" w:color="FFFFFF" w:themeColor="light1"/>
        </w:tcBorders>
        <w:shd w:val="clear" w:color="A9D774" w:themeColor="accent3" w:fill="A9D774" w:themeFill="accent3"/>
      </w:tcPr>
    </w:tblStylePr>
    <w:tblStylePr w:type="firstCol">
      <w:rPr>
        <w:rFonts w:ascii="Arial" w:hAnsi="Arial"/>
        <w:b/>
        <w:color w:val="FFFFFF"/>
        <w:sz w:val="22"/>
      </w:rPr>
      <w:tblPr/>
      <w:trPr>
        <w:hidden/>
      </w:trPr>
      <w:tcPr>
        <w:shd w:val="clear" w:color="A9D774" w:themeColor="accent3" w:fill="A9D774" w:themeFill="accent3"/>
      </w:tcPr>
    </w:tblStylePr>
    <w:tblStylePr w:type="lastCol">
      <w:rPr>
        <w:rFonts w:ascii="Arial" w:hAnsi="Arial"/>
        <w:b/>
        <w:color w:val="FFFFFF"/>
        <w:sz w:val="22"/>
      </w:rPr>
      <w:tblPr/>
      <w:trPr>
        <w:hidden/>
      </w:trPr>
      <w:tcPr>
        <w:shd w:val="clear" w:color="A9D774" w:themeColor="accent3" w:fill="A9D774" w:themeFill="accent3"/>
      </w:tcPr>
    </w:tblStylePr>
    <w:tblStylePr w:type="band1Vert">
      <w:tblPr/>
      <w:trPr>
        <w:hidden/>
      </w:trPr>
      <w:tcPr>
        <w:shd w:val="clear" w:color="D7ECBF" w:themeColor="accent3" w:themeTint="75" w:fill="D7ECBF" w:themeFill="accent3" w:themeFillTint="75"/>
      </w:tcPr>
    </w:tblStylePr>
    <w:tblStylePr w:type="band1Horz">
      <w:tblPr/>
      <w:trPr>
        <w:hidden/>
      </w:trPr>
      <w:tcPr>
        <w:shd w:val="clear" w:color="D7ECBF" w:themeColor="accent3" w:themeTint="75" w:fill="D7ECBF"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DE7F4" w:themeColor="accent4" w:themeTint="34" w:fill="EDE7F4" w:themeFill="accent4" w:themeFillTint="34"/>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A78BC9" w:themeColor="accent4" w:fill="A78BC9" w:themeFill="accent4"/>
      </w:tcPr>
    </w:tblStylePr>
    <w:tblStylePr w:type="lastRow">
      <w:rPr>
        <w:rFonts w:ascii="Arial" w:hAnsi="Arial"/>
        <w:b/>
        <w:color w:val="FFFFFF"/>
        <w:sz w:val="22"/>
      </w:rPr>
      <w:tblPr/>
      <w:trPr>
        <w:hidden/>
      </w:trPr>
      <w:tcPr>
        <w:tcBorders>
          <w:top w:val="single" w:sz="4" w:space="0" w:color="FFFFFF" w:themeColor="light1"/>
        </w:tcBorders>
        <w:shd w:val="clear" w:color="A78BC9" w:themeColor="accent4" w:fill="A78BC9" w:themeFill="accent4"/>
      </w:tcPr>
    </w:tblStylePr>
    <w:tblStylePr w:type="firstCol">
      <w:rPr>
        <w:rFonts w:ascii="Arial" w:hAnsi="Arial"/>
        <w:b/>
        <w:color w:val="FFFFFF"/>
        <w:sz w:val="22"/>
      </w:rPr>
      <w:tblPr/>
      <w:trPr>
        <w:hidden/>
      </w:trPr>
      <w:tcPr>
        <w:shd w:val="clear" w:color="A78BC9" w:themeColor="accent4" w:fill="A78BC9" w:themeFill="accent4"/>
      </w:tcPr>
    </w:tblStylePr>
    <w:tblStylePr w:type="lastCol">
      <w:rPr>
        <w:rFonts w:ascii="Arial" w:hAnsi="Arial"/>
        <w:b/>
        <w:color w:val="FFFFFF"/>
        <w:sz w:val="22"/>
      </w:rPr>
      <w:tblPr/>
      <w:trPr>
        <w:hidden/>
      </w:trPr>
      <w:tcPr>
        <w:shd w:val="clear" w:color="A78BC9" w:themeColor="accent4" w:fill="A78BC9" w:themeFill="accent4"/>
      </w:tcPr>
    </w:tblStylePr>
    <w:tblStylePr w:type="band1Vert">
      <w:tblPr/>
      <w:trPr>
        <w:hidden/>
      </w:trPr>
      <w:tcPr>
        <w:shd w:val="clear" w:color="D6C9E6" w:themeColor="accent4" w:themeTint="75" w:fill="D6C9E6" w:themeFill="accent4" w:themeFillTint="75"/>
      </w:tcPr>
    </w:tblStylePr>
    <w:tblStylePr w:type="band1Horz">
      <w:tblPr/>
      <w:trPr>
        <w:hidden/>
      </w:trPr>
      <w:tcPr>
        <w:shd w:val="clear" w:color="D6C9E6" w:themeColor="accent4" w:themeTint="75" w:fill="D6C9E6"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3F4F9" w:themeColor="accent5" w:themeTint="34" w:fill="E3F4F9" w:themeFill="accent5" w:themeFillTint="34"/>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78CBE1" w:themeColor="accent5" w:fill="78CBE1" w:themeFill="accent5"/>
      </w:tcPr>
    </w:tblStylePr>
    <w:tblStylePr w:type="lastRow">
      <w:rPr>
        <w:rFonts w:ascii="Arial" w:hAnsi="Arial"/>
        <w:b/>
        <w:color w:val="FFFFFF"/>
        <w:sz w:val="22"/>
      </w:rPr>
      <w:tblPr/>
      <w:trPr>
        <w:hidden/>
      </w:trPr>
      <w:tcPr>
        <w:tcBorders>
          <w:top w:val="single" w:sz="4" w:space="0" w:color="FFFFFF" w:themeColor="light1"/>
        </w:tcBorders>
        <w:shd w:val="clear" w:color="78CBE1" w:themeColor="accent5" w:fill="78CBE1" w:themeFill="accent5"/>
      </w:tcPr>
    </w:tblStylePr>
    <w:tblStylePr w:type="firstCol">
      <w:rPr>
        <w:rFonts w:ascii="Arial" w:hAnsi="Arial"/>
        <w:b/>
        <w:color w:val="FFFFFF"/>
        <w:sz w:val="22"/>
      </w:rPr>
      <w:tblPr/>
      <w:trPr>
        <w:hidden/>
      </w:trPr>
      <w:tcPr>
        <w:shd w:val="clear" w:color="78CBE1" w:themeColor="accent5" w:fill="78CBE1" w:themeFill="accent5"/>
      </w:tcPr>
    </w:tblStylePr>
    <w:tblStylePr w:type="lastCol">
      <w:rPr>
        <w:rFonts w:ascii="Arial" w:hAnsi="Arial"/>
        <w:b/>
        <w:color w:val="FFFFFF"/>
        <w:sz w:val="22"/>
      </w:rPr>
      <w:tblPr/>
      <w:trPr>
        <w:hidden/>
      </w:trPr>
      <w:tcPr>
        <w:shd w:val="clear" w:color="78CBE1" w:themeColor="accent5" w:fill="78CBE1" w:themeFill="accent5"/>
      </w:tcPr>
    </w:tblStylePr>
    <w:tblStylePr w:type="band1Vert">
      <w:tblPr/>
      <w:trPr>
        <w:hidden/>
      </w:trPr>
      <w:tcPr>
        <w:shd w:val="clear" w:color="C0E6F1" w:themeColor="accent5" w:themeTint="75" w:fill="C0E6F1" w:themeFill="accent5" w:themeFillTint="75"/>
      </w:tcPr>
    </w:tblStylePr>
    <w:tblStylePr w:type="band1Horz">
      <w:tblPr/>
      <w:trPr>
        <w:hidden/>
      </w:trPr>
      <w:tcPr>
        <w:shd w:val="clear" w:color="C0E6F1" w:themeColor="accent5" w:themeTint="75" w:fill="C0E6F1"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EF1E7" w:themeColor="accent6" w:themeTint="34" w:fill="FEF1E7" w:themeFill="accent6" w:themeFillTint="34"/>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FCBF8C" w:themeColor="accent6" w:fill="FCBF8C" w:themeFill="accent6"/>
      </w:tcPr>
    </w:tblStylePr>
    <w:tblStylePr w:type="lastRow">
      <w:rPr>
        <w:rFonts w:ascii="Arial" w:hAnsi="Arial"/>
        <w:b/>
        <w:color w:val="FFFFFF"/>
        <w:sz w:val="22"/>
      </w:rPr>
      <w:tblPr/>
      <w:trPr>
        <w:hidden/>
      </w:trPr>
      <w:tcPr>
        <w:tcBorders>
          <w:top w:val="single" w:sz="4" w:space="0" w:color="FFFFFF" w:themeColor="light1"/>
        </w:tcBorders>
        <w:shd w:val="clear" w:color="FCBF8C" w:themeColor="accent6" w:fill="FCBF8C" w:themeFill="accent6"/>
      </w:tcPr>
    </w:tblStylePr>
    <w:tblStylePr w:type="firstCol">
      <w:rPr>
        <w:rFonts w:ascii="Arial" w:hAnsi="Arial"/>
        <w:b/>
        <w:color w:val="FFFFFF"/>
        <w:sz w:val="22"/>
      </w:rPr>
      <w:tblPr/>
      <w:trPr>
        <w:hidden/>
      </w:trPr>
      <w:tcPr>
        <w:shd w:val="clear" w:color="FCBF8C" w:themeColor="accent6" w:fill="FCBF8C" w:themeFill="accent6"/>
      </w:tcPr>
    </w:tblStylePr>
    <w:tblStylePr w:type="lastCol">
      <w:rPr>
        <w:rFonts w:ascii="Arial" w:hAnsi="Arial"/>
        <w:b/>
        <w:color w:val="FFFFFF"/>
        <w:sz w:val="22"/>
      </w:rPr>
      <w:tblPr/>
      <w:trPr>
        <w:hidden/>
      </w:trPr>
      <w:tcPr>
        <w:shd w:val="clear" w:color="FCBF8C" w:themeColor="accent6" w:fill="FCBF8C" w:themeFill="accent6"/>
      </w:tcPr>
    </w:tblStylePr>
    <w:tblStylePr w:type="band1Vert">
      <w:tblPr/>
      <w:trPr>
        <w:hidden/>
      </w:trPr>
      <w:tcPr>
        <w:shd w:val="clear" w:color="FDE1CA" w:themeColor="accent6" w:themeTint="75" w:fill="FDE1CA" w:themeFill="accent6" w:themeFillTint="75"/>
      </w:tcPr>
    </w:tblStylePr>
    <w:tblStylePr w:type="band1Horz">
      <w:tblPr/>
      <w:trPr>
        <w:hidden/>
      </w:trPr>
      <w:tcPr>
        <w:shd w:val="clear" w:color="FDE1CA" w:themeColor="accent6" w:themeTint="75" w:fill="FDE1C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rPr>
      <w:hidden/>
    </w:trPr>
    <w:tblStylePr w:type="firstRow">
      <w:rPr>
        <w:b/>
        <w:color w:val="7F7F7F" w:themeColor="text1" w:themeTint="80" w:themeShade="95"/>
      </w:rPr>
      <w:tblPr/>
      <w:trPr>
        <w:hidden/>
      </w:tr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rPr>
        <w:hidden/>
      </w:tr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rPr>
        <w:hidden/>
      </w:tr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BED4EF" w:themeColor="accent1" w:themeTint="80"/>
        <w:left w:val="single" w:sz="4" w:space="0" w:color="BED4EF" w:themeColor="accent1" w:themeTint="80"/>
        <w:bottom w:val="single" w:sz="4" w:space="0" w:color="BED4EF" w:themeColor="accent1" w:themeTint="80"/>
        <w:right w:val="single" w:sz="4" w:space="0" w:color="BED4EF" w:themeColor="accent1" w:themeTint="80"/>
        <w:insideH w:val="single" w:sz="4" w:space="0" w:color="BED4EF" w:themeColor="accent1" w:themeTint="80"/>
        <w:insideV w:val="single" w:sz="4" w:space="0" w:color="BED4EF" w:themeColor="accent1" w:themeTint="80"/>
      </w:tblBorders>
      <w:tblCellMar>
        <w:top w:w="0" w:type="dxa"/>
        <w:left w:w="108" w:type="dxa"/>
        <w:bottom w:w="0" w:type="dxa"/>
        <w:right w:w="108" w:type="dxa"/>
      </w:tblCellMar>
    </w:tblPr>
    <w:trPr>
      <w:hidden/>
    </w:trPr>
    <w:tblStylePr w:type="firstRow">
      <w:rPr>
        <w:b/>
        <w:color w:val="BED4EF" w:themeColor="accent1" w:themeTint="80" w:themeShade="95"/>
      </w:rPr>
      <w:tblPr/>
      <w:trPr>
        <w:hidden/>
      </w:trPr>
      <w:tcPr>
        <w:tcBorders>
          <w:bottom w:val="single" w:sz="12" w:space="0" w:color="BED4EF" w:themeColor="accent1" w:themeTint="80"/>
        </w:tcBorders>
      </w:tcPr>
    </w:tblStylePr>
    <w:tblStylePr w:type="lastRow">
      <w:rPr>
        <w:b/>
        <w:color w:val="BED4EF" w:themeColor="accent1" w:themeTint="80" w:themeShade="95"/>
      </w:rPr>
    </w:tblStylePr>
    <w:tblStylePr w:type="firstCol">
      <w:rPr>
        <w:b/>
        <w:color w:val="BED4EF" w:themeColor="accent1" w:themeTint="80" w:themeShade="95"/>
      </w:rPr>
    </w:tblStylePr>
    <w:tblStylePr w:type="lastCol">
      <w:rPr>
        <w:b/>
        <w:color w:val="BED4EF" w:themeColor="accent1" w:themeTint="80" w:themeShade="95"/>
      </w:rPr>
    </w:tblStylePr>
    <w:tblStylePr w:type="band1Vert">
      <w:tblPr/>
      <w:trPr>
        <w:hidden/>
      </w:trPr>
      <w:tcPr>
        <w:shd w:val="clear" w:color="E4EDF8" w:themeColor="accent1" w:themeTint="34" w:fill="E4EDF8" w:themeFill="accent1" w:themeFillTint="34"/>
      </w:tcPr>
    </w:tblStylePr>
    <w:tblStylePr w:type="band1Horz">
      <w:rPr>
        <w:rFonts w:ascii="Arial" w:hAnsi="Arial"/>
        <w:color w:val="BED4EF" w:themeColor="accent1" w:themeTint="80" w:themeShade="95"/>
        <w:sz w:val="22"/>
      </w:rPr>
      <w:tblPr/>
      <w:trPr>
        <w:hidden/>
      </w:trPr>
      <w:tcPr>
        <w:shd w:val="clear" w:color="E4EDF8" w:themeColor="accent1" w:themeTint="34" w:fill="E4EDF8" w:themeFill="accent1" w:themeFillTint="34"/>
      </w:tcPr>
    </w:tblStylePr>
    <w:tblStylePr w:type="band2Horz">
      <w:rPr>
        <w:rFonts w:ascii="Arial" w:hAnsi="Arial"/>
        <w:color w:val="BED4EF"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insideH w:val="single" w:sz="4" w:space="0" w:color="F2ABA9" w:themeColor="accent2" w:themeTint="97"/>
        <w:insideV w:val="single" w:sz="4" w:space="0" w:color="F2ABA9" w:themeColor="accent2" w:themeTint="97"/>
      </w:tblBorders>
      <w:tblCellMar>
        <w:top w:w="0" w:type="dxa"/>
        <w:left w:w="108" w:type="dxa"/>
        <w:bottom w:w="0" w:type="dxa"/>
        <w:right w:w="108" w:type="dxa"/>
      </w:tblCellMar>
    </w:tblPr>
    <w:trPr>
      <w:hidden/>
    </w:trPr>
    <w:tblStylePr w:type="firstRow">
      <w:rPr>
        <w:b/>
        <w:color w:val="F2ABA9" w:themeColor="accent2" w:themeTint="97" w:themeShade="95"/>
      </w:rPr>
      <w:tblPr/>
      <w:trPr>
        <w:hidden/>
      </w:trPr>
      <w:tcPr>
        <w:tcBorders>
          <w:bottom w:val="single" w:sz="12" w:space="0" w:color="F2ABA9" w:themeColor="accent2" w:themeTint="97"/>
        </w:tcBorders>
      </w:tcPr>
    </w:tblStylePr>
    <w:tblStylePr w:type="lastRow">
      <w:rPr>
        <w:b/>
        <w:color w:val="F2ABA9" w:themeColor="accent2" w:themeTint="97" w:themeShade="95"/>
      </w:rPr>
    </w:tblStylePr>
    <w:tblStylePr w:type="firstCol">
      <w:rPr>
        <w:b/>
        <w:color w:val="F2ABA9" w:themeColor="accent2" w:themeTint="97" w:themeShade="95"/>
      </w:rPr>
    </w:tblStylePr>
    <w:tblStylePr w:type="lastCol">
      <w:rPr>
        <w:b/>
        <w:color w:val="F2ABA9" w:themeColor="accent2" w:themeTint="97" w:themeShade="95"/>
      </w:rPr>
    </w:tblStylePr>
    <w:tblStylePr w:type="band1Vert">
      <w:tblPr/>
      <w:trPr>
        <w:hidden/>
      </w:trPr>
      <w:tcPr>
        <w:shd w:val="clear" w:color="FBE2E2" w:themeColor="accent2" w:themeTint="32" w:fill="FBE2E2" w:themeFill="accent2" w:themeFillTint="32"/>
      </w:tcPr>
    </w:tblStylePr>
    <w:tblStylePr w:type="band1Horz">
      <w:rPr>
        <w:rFonts w:ascii="Arial" w:hAnsi="Arial"/>
        <w:color w:val="F2ABA9" w:themeColor="accent2" w:themeTint="97" w:themeShade="95"/>
        <w:sz w:val="22"/>
      </w:rPr>
      <w:tblPr/>
      <w:trPr>
        <w:hidden/>
      </w:trPr>
      <w:tcPr>
        <w:shd w:val="clear" w:color="FBE2E2" w:themeColor="accent2" w:themeTint="32" w:fill="FBE2E2" w:themeFill="accent2" w:themeFillTint="32"/>
      </w:tcPr>
    </w:tblStylePr>
    <w:tblStylePr w:type="band2Horz">
      <w:rPr>
        <w:rFonts w:ascii="Arial" w:hAnsi="Arial"/>
        <w:color w:val="F2ABA9"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A9D774" w:themeColor="accent3" w:themeTint="FE"/>
        <w:left w:val="single" w:sz="4" w:space="0" w:color="A9D774" w:themeColor="accent3" w:themeTint="FE"/>
        <w:bottom w:val="single" w:sz="4" w:space="0" w:color="A9D774" w:themeColor="accent3" w:themeTint="FE"/>
        <w:right w:val="single" w:sz="4" w:space="0" w:color="A9D774" w:themeColor="accent3" w:themeTint="FE"/>
        <w:insideH w:val="single" w:sz="4" w:space="0" w:color="A9D774" w:themeColor="accent3" w:themeTint="FE"/>
        <w:insideV w:val="single" w:sz="4" w:space="0" w:color="A9D774" w:themeColor="accent3" w:themeTint="FE"/>
      </w:tblBorders>
      <w:tblCellMar>
        <w:top w:w="0" w:type="dxa"/>
        <w:left w:w="108" w:type="dxa"/>
        <w:bottom w:w="0" w:type="dxa"/>
        <w:right w:w="108" w:type="dxa"/>
      </w:tblCellMar>
    </w:tblPr>
    <w:trPr>
      <w:hidden/>
    </w:trPr>
    <w:tblStylePr w:type="firstRow">
      <w:rPr>
        <w:b/>
        <w:color w:val="A9D774" w:themeColor="accent3" w:themeTint="FE" w:themeShade="95"/>
      </w:rPr>
      <w:tblPr/>
      <w:trPr>
        <w:hidden/>
      </w:trPr>
      <w:tcPr>
        <w:tcBorders>
          <w:bottom w:val="single" w:sz="12" w:space="0" w:color="A9D774" w:themeColor="accent3" w:themeTint="FE"/>
        </w:tcBorders>
      </w:tcPr>
    </w:tblStylePr>
    <w:tblStylePr w:type="lastRow">
      <w:rPr>
        <w:b/>
        <w:color w:val="A9D774" w:themeColor="accent3" w:themeTint="FE" w:themeShade="95"/>
      </w:rPr>
    </w:tblStylePr>
    <w:tblStylePr w:type="firstCol">
      <w:rPr>
        <w:b/>
        <w:color w:val="A9D774" w:themeColor="accent3" w:themeTint="FE" w:themeShade="95"/>
      </w:rPr>
    </w:tblStylePr>
    <w:tblStylePr w:type="lastCol">
      <w:rPr>
        <w:b/>
        <w:color w:val="A9D774" w:themeColor="accent3" w:themeTint="FE" w:themeShade="95"/>
      </w:rPr>
    </w:tblStylePr>
    <w:tblStylePr w:type="band1Vert">
      <w:tblPr/>
      <w:trPr>
        <w:hidden/>
      </w:trPr>
      <w:tcPr>
        <w:shd w:val="clear" w:color="EDF6E2" w:themeColor="accent3" w:themeTint="34" w:fill="EDF6E2" w:themeFill="accent3" w:themeFillTint="34"/>
      </w:tcPr>
    </w:tblStylePr>
    <w:tblStylePr w:type="band1Horz">
      <w:rPr>
        <w:rFonts w:ascii="Arial" w:hAnsi="Arial"/>
        <w:color w:val="A9D774" w:themeColor="accent3" w:themeTint="FE" w:themeShade="95"/>
        <w:sz w:val="22"/>
      </w:rPr>
      <w:tblPr/>
      <w:trPr>
        <w:hidden/>
      </w:trPr>
      <w:tcPr>
        <w:shd w:val="clear" w:color="EDF6E2" w:themeColor="accent3" w:themeTint="34" w:fill="EDF6E2" w:themeFill="accent3" w:themeFillTint="34"/>
      </w:tcPr>
    </w:tblStylePr>
    <w:tblStylePr w:type="band2Horz">
      <w:rPr>
        <w:rFonts w:ascii="Arial" w:hAnsi="Arial"/>
        <w:color w:val="A9D774"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insideH w:val="single" w:sz="4" w:space="0" w:color="C9B8DE" w:themeColor="accent4" w:themeTint="9A"/>
        <w:insideV w:val="single" w:sz="4" w:space="0" w:color="C9B8DE" w:themeColor="accent4" w:themeTint="9A"/>
      </w:tblBorders>
      <w:tblCellMar>
        <w:top w:w="0" w:type="dxa"/>
        <w:left w:w="108" w:type="dxa"/>
        <w:bottom w:w="0" w:type="dxa"/>
        <w:right w:w="108" w:type="dxa"/>
      </w:tblCellMar>
    </w:tblPr>
    <w:trPr>
      <w:hidden/>
    </w:trPr>
    <w:tblStylePr w:type="firstRow">
      <w:rPr>
        <w:b/>
        <w:color w:val="C9B8DE" w:themeColor="accent4" w:themeTint="9A" w:themeShade="95"/>
      </w:rPr>
      <w:tblPr/>
      <w:trPr>
        <w:hidden/>
      </w:trPr>
      <w:tcPr>
        <w:tcBorders>
          <w:bottom w:val="single" w:sz="12" w:space="0" w:color="C9B8DE" w:themeColor="accent4" w:themeTint="9A"/>
        </w:tcBorders>
      </w:tcPr>
    </w:tblStylePr>
    <w:tblStylePr w:type="lastRow">
      <w:rPr>
        <w:b/>
        <w:color w:val="C9B8DE" w:themeColor="accent4" w:themeTint="9A" w:themeShade="95"/>
      </w:rPr>
    </w:tblStylePr>
    <w:tblStylePr w:type="firstCol">
      <w:rPr>
        <w:b/>
        <w:color w:val="C9B8DE" w:themeColor="accent4" w:themeTint="9A" w:themeShade="95"/>
      </w:rPr>
    </w:tblStylePr>
    <w:tblStylePr w:type="lastCol">
      <w:rPr>
        <w:b/>
        <w:color w:val="C9B8DE" w:themeColor="accent4" w:themeTint="9A" w:themeShade="95"/>
      </w:rPr>
    </w:tblStylePr>
    <w:tblStylePr w:type="band1Vert">
      <w:tblPr/>
      <w:trPr>
        <w:hidden/>
      </w:trPr>
      <w:tcPr>
        <w:shd w:val="clear" w:color="EDE7F4" w:themeColor="accent4" w:themeTint="34" w:fill="EDE7F4" w:themeFill="accent4" w:themeFillTint="34"/>
      </w:tcPr>
    </w:tblStylePr>
    <w:tblStylePr w:type="band1Horz">
      <w:rPr>
        <w:rFonts w:ascii="Arial" w:hAnsi="Arial"/>
        <w:color w:val="C9B8DE" w:themeColor="accent4" w:themeTint="9A" w:themeShade="95"/>
        <w:sz w:val="22"/>
      </w:rPr>
      <w:tblPr/>
      <w:trPr>
        <w:hidden/>
      </w:trPr>
      <w:tcPr>
        <w:shd w:val="clear" w:color="EDE7F4" w:themeColor="accent4" w:themeTint="34" w:fill="EDE7F4" w:themeFill="accent4" w:themeFillTint="34"/>
      </w:tcPr>
    </w:tblStylePr>
    <w:tblStylePr w:type="band2Horz">
      <w:rPr>
        <w:rFonts w:ascii="Arial" w:hAnsi="Arial"/>
        <w:color w:val="C9B8DE"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78CBE1" w:themeColor="accent5"/>
        <w:left w:val="single" w:sz="4" w:space="0" w:color="78CBE1" w:themeColor="accent5"/>
        <w:bottom w:val="single" w:sz="4" w:space="0" w:color="78CBE1" w:themeColor="accent5"/>
        <w:right w:val="single" w:sz="4" w:space="0" w:color="78CBE1" w:themeColor="accent5"/>
        <w:insideH w:val="single" w:sz="4" w:space="0" w:color="78CBE1" w:themeColor="accent5"/>
        <w:insideV w:val="single" w:sz="4" w:space="0" w:color="78CBE1" w:themeColor="accent5"/>
      </w:tblBorders>
      <w:tblCellMar>
        <w:top w:w="0" w:type="dxa"/>
        <w:left w:w="108" w:type="dxa"/>
        <w:bottom w:w="0" w:type="dxa"/>
        <w:right w:w="108" w:type="dxa"/>
      </w:tblCellMar>
    </w:tblPr>
    <w:trPr>
      <w:hidden/>
    </w:trPr>
    <w:tblStylePr w:type="firstRow">
      <w:rPr>
        <w:b/>
        <w:color w:val="2489A4" w:themeColor="accent5" w:themeShade="95"/>
      </w:rPr>
      <w:tblPr/>
      <w:trPr>
        <w:hidden/>
      </w:trPr>
      <w:tcPr>
        <w:tcBorders>
          <w:bottom w:val="single" w:sz="12" w:space="0" w:color="78CBE1" w:themeColor="accent5"/>
        </w:tcBorders>
      </w:tcPr>
    </w:tblStylePr>
    <w:tblStylePr w:type="lastRow">
      <w:rPr>
        <w:b/>
        <w:color w:val="2489A4" w:themeColor="accent5" w:themeShade="95"/>
      </w:rPr>
    </w:tblStylePr>
    <w:tblStylePr w:type="firstCol">
      <w:rPr>
        <w:b/>
        <w:color w:val="2489A4" w:themeColor="accent5" w:themeShade="95"/>
      </w:rPr>
    </w:tblStylePr>
    <w:tblStylePr w:type="lastCol">
      <w:rPr>
        <w:b/>
        <w:color w:val="2489A4" w:themeColor="accent5" w:themeShade="95"/>
      </w:rPr>
    </w:tblStylePr>
    <w:tblStylePr w:type="band1Vert">
      <w:tblPr/>
      <w:trPr>
        <w:hidden/>
      </w:trPr>
      <w:tcPr>
        <w:shd w:val="clear" w:color="E3F4F9" w:themeColor="accent5" w:themeTint="34" w:fill="E3F4F9" w:themeFill="accent5" w:themeFillTint="34"/>
      </w:tcPr>
    </w:tblStylePr>
    <w:tblStylePr w:type="band1Horz">
      <w:rPr>
        <w:rFonts w:ascii="Arial" w:hAnsi="Arial"/>
        <w:color w:val="2489A4" w:themeColor="accent5" w:themeShade="95"/>
        <w:sz w:val="22"/>
      </w:rPr>
      <w:tblPr/>
      <w:trPr>
        <w:hidden/>
      </w:trPr>
      <w:tcPr>
        <w:shd w:val="clear" w:color="E3F4F9" w:themeColor="accent5" w:themeTint="34" w:fill="E3F4F9" w:themeFill="accent5" w:themeFillTint="34"/>
      </w:tcPr>
    </w:tblStylePr>
    <w:tblStylePr w:type="band2Horz">
      <w:rPr>
        <w:rFonts w:ascii="Arial" w:hAnsi="Arial"/>
        <w:color w:val="2489A4"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CBF8C" w:themeColor="accent6"/>
        <w:left w:val="single" w:sz="4" w:space="0" w:color="FCBF8C" w:themeColor="accent6"/>
        <w:bottom w:val="single" w:sz="4" w:space="0" w:color="FCBF8C" w:themeColor="accent6"/>
        <w:right w:val="single" w:sz="4" w:space="0" w:color="FCBF8C" w:themeColor="accent6"/>
        <w:insideH w:val="single" w:sz="4" w:space="0" w:color="FCBF8C" w:themeColor="accent6"/>
        <w:insideV w:val="single" w:sz="4" w:space="0" w:color="FCBF8C" w:themeColor="accent6"/>
      </w:tblBorders>
      <w:tblCellMar>
        <w:top w:w="0" w:type="dxa"/>
        <w:left w:w="108" w:type="dxa"/>
        <w:bottom w:w="0" w:type="dxa"/>
        <w:right w:w="108" w:type="dxa"/>
      </w:tblCellMar>
    </w:tblPr>
    <w:trPr>
      <w:hidden/>
    </w:trPr>
    <w:tblStylePr w:type="firstRow">
      <w:rPr>
        <w:b/>
        <w:color w:val="2489A4" w:themeColor="accent5" w:themeShade="95"/>
      </w:rPr>
      <w:tblPr/>
      <w:trPr>
        <w:hidden/>
      </w:trPr>
      <w:tcPr>
        <w:tcBorders>
          <w:bottom w:val="single" w:sz="12" w:space="0" w:color="FCBF8C" w:themeColor="accent6"/>
        </w:tcBorders>
      </w:tcPr>
    </w:tblStylePr>
    <w:tblStylePr w:type="lastRow">
      <w:rPr>
        <w:b/>
        <w:color w:val="2489A4" w:themeColor="accent5" w:themeShade="95"/>
      </w:rPr>
    </w:tblStylePr>
    <w:tblStylePr w:type="firstCol">
      <w:rPr>
        <w:b/>
        <w:color w:val="2489A4" w:themeColor="accent5" w:themeShade="95"/>
      </w:rPr>
    </w:tblStylePr>
    <w:tblStylePr w:type="lastCol">
      <w:rPr>
        <w:b/>
        <w:color w:val="2489A4" w:themeColor="accent5" w:themeShade="95"/>
      </w:rPr>
    </w:tblStylePr>
    <w:tblStylePr w:type="band1Vert">
      <w:tblPr/>
      <w:trPr>
        <w:hidden/>
      </w:trPr>
      <w:tcPr>
        <w:shd w:val="clear" w:color="FEF1E7" w:themeColor="accent6" w:themeTint="34" w:fill="FEF1E7" w:themeFill="accent6" w:themeFillTint="34"/>
      </w:tcPr>
    </w:tblStylePr>
    <w:tblStylePr w:type="band1Horz">
      <w:rPr>
        <w:rFonts w:ascii="Arial" w:hAnsi="Arial"/>
        <w:color w:val="2489A4" w:themeColor="accent5" w:themeShade="95"/>
        <w:sz w:val="22"/>
      </w:rPr>
      <w:tblPr/>
      <w:trPr>
        <w:hidden/>
      </w:trPr>
      <w:tcPr>
        <w:shd w:val="clear" w:color="FEF1E7" w:themeColor="accent6" w:themeTint="34" w:fill="FEF1E7" w:themeFill="accent6" w:themeFillTint="34"/>
      </w:tcPr>
    </w:tblStylePr>
    <w:tblStylePr w:type="band2Horz">
      <w:rPr>
        <w:rFonts w:ascii="Arial" w:hAnsi="Arial"/>
        <w:color w:val="2489A4"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rPr>
      <w:hidden/>
    </w:trPr>
    <w:tblStylePr w:type="firstRow">
      <w:rPr>
        <w:rFonts w:ascii="Arial" w:hAnsi="Arial"/>
        <w:b/>
        <w:color w:val="7F7F7F" w:themeColor="text1" w:themeTint="80" w:themeShade="95"/>
        <w:sz w:val="22"/>
      </w:rPr>
      <w:tblPr/>
      <w:trPr>
        <w:hidden/>
      </w:tr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rPr>
        <w:hidden/>
      </w:tr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rPr>
        <w:hidden/>
      </w:tr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rPr>
        <w:hidden/>
      </w:tr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rPr>
        <w:hidden/>
      </w:tr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rPr>
        <w:hidden/>
      </w:tr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BED4EF" w:themeColor="accent1" w:themeTint="80"/>
        <w:right w:val="single" w:sz="4" w:space="0" w:color="BED4EF" w:themeColor="accent1" w:themeTint="80"/>
        <w:insideH w:val="single" w:sz="4" w:space="0" w:color="BED4EF" w:themeColor="accent1" w:themeTint="80"/>
        <w:insideV w:val="single" w:sz="4" w:space="0" w:color="BED4EF" w:themeColor="accent1" w:themeTint="80"/>
      </w:tblBorders>
      <w:tblCellMar>
        <w:top w:w="0" w:type="dxa"/>
        <w:left w:w="108" w:type="dxa"/>
        <w:bottom w:w="0" w:type="dxa"/>
        <w:right w:w="108" w:type="dxa"/>
      </w:tblCellMar>
    </w:tblPr>
    <w:trPr>
      <w:hidden/>
    </w:trPr>
    <w:tblStylePr w:type="firstRow">
      <w:rPr>
        <w:rFonts w:ascii="Arial" w:hAnsi="Arial"/>
        <w:b/>
        <w:color w:val="BED4EF" w:themeColor="accent1" w:themeTint="80" w:themeShade="95"/>
        <w:sz w:val="22"/>
      </w:rPr>
      <w:tblPr/>
      <w:trPr>
        <w:hidden/>
      </w:trPr>
      <w:tcPr>
        <w:tcBorders>
          <w:top w:val="none" w:sz="4" w:space="0" w:color="000000"/>
          <w:left w:val="none" w:sz="4" w:space="0" w:color="000000"/>
          <w:bottom w:val="single" w:sz="4" w:space="0" w:color="BED4EF" w:themeColor="accent1" w:themeTint="80"/>
          <w:right w:val="none" w:sz="4" w:space="0" w:color="000000"/>
        </w:tcBorders>
        <w:shd w:val="clear" w:color="FFFFFF" w:themeColor="light1" w:fill="FFFFFF" w:themeFill="light1"/>
      </w:tcPr>
    </w:tblStylePr>
    <w:tblStylePr w:type="lastRow">
      <w:rPr>
        <w:rFonts w:ascii="Arial" w:hAnsi="Arial"/>
        <w:b/>
        <w:color w:val="BED4EF" w:themeColor="accent1" w:themeTint="80" w:themeShade="95"/>
        <w:sz w:val="22"/>
      </w:rPr>
      <w:tblPr/>
      <w:trPr>
        <w:hidden/>
      </w:trPr>
      <w:tcPr>
        <w:tcBorders>
          <w:top w:val="single" w:sz="4" w:space="0" w:color="BED4E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ED4EF" w:themeColor="accent1" w:themeTint="80" w:themeShade="95"/>
        <w:sz w:val="22"/>
      </w:rPr>
      <w:tblPr/>
      <w:trPr>
        <w:hidden/>
      </w:trPr>
      <w:tcPr>
        <w:tcBorders>
          <w:top w:val="none" w:sz="4" w:space="0" w:color="000000"/>
          <w:left w:val="none" w:sz="4" w:space="0" w:color="000000"/>
          <w:bottom w:val="none" w:sz="4" w:space="0" w:color="000000"/>
          <w:right w:val="single" w:sz="4" w:space="0" w:color="BED4EF" w:themeColor="accent1" w:themeTint="80"/>
        </w:tcBorders>
        <w:shd w:val="clear" w:color="FFFFFF" w:fill="auto"/>
      </w:tcPr>
    </w:tblStylePr>
    <w:tblStylePr w:type="lastCol">
      <w:rPr>
        <w:rFonts w:ascii="Arial" w:hAnsi="Arial"/>
        <w:i/>
        <w:color w:val="BED4EF" w:themeColor="accent1" w:themeTint="80" w:themeShade="95"/>
        <w:sz w:val="22"/>
      </w:rPr>
      <w:tblPr/>
      <w:trPr>
        <w:hidden/>
      </w:trPr>
      <w:tcPr>
        <w:tcBorders>
          <w:top w:val="none" w:sz="4" w:space="0" w:color="000000"/>
          <w:left w:val="single" w:sz="4" w:space="0" w:color="BED4EF" w:themeColor="accent1" w:themeTint="80"/>
          <w:bottom w:val="none" w:sz="4" w:space="0" w:color="000000"/>
          <w:right w:val="none" w:sz="4" w:space="0" w:color="000000"/>
        </w:tcBorders>
        <w:shd w:val="clear" w:color="FFFFFF" w:fill="auto"/>
      </w:tcPr>
    </w:tblStylePr>
    <w:tblStylePr w:type="band1Vert">
      <w:tblPr/>
      <w:trPr>
        <w:hidden/>
      </w:trPr>
      <w:tcPr>
        <w:shd w:val="clear" w:color="E4EDF8" w:themeColor="accent1" w:themeTint="34" w:fill="E4EDF8" w:themeFill="accent1" w:themeFillTint="34"/>
      </w:tcPr>
    </w:tblStylePr>
    <w:tblStylePr w:type="band1Horz">
      <w:rPr>
        <w:rFonts w:ascii="Arial" w:hAnsi="Arial"/>
        <w:color w:val="BED4EF" w:themeColor="accent1" w:themeTint="80" w:themeShade="95"/>
        <w:sz w:val="22"/>
      </w:rPr>
      <w:tblPr/>
      <w:trPr>
        <w:hidden/>
      </w:trPr>
      <w:tcPr>
        <w:shd w:val="clear" w:color="E4EDF8" w:themeColor="accent1" w:themeTint="34" w:fill="E4EDF8" w:themeFill="accent1" w:themeFillTint="34"/>
      </w:tcPr>
    </w:tblStylePr>
    <w:tblStylePr w:type="band2Horz">
      <w:rPr>
        <w:rFonts w:ascii="Arial" w:hAnsi="Arial"/>
        <w:color w:val="BED4EF"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F2ABA9" w:themeColor="accent2" w:themeTint="97"/>
        <w:right w:val="single" w:sz="4" w:space="0" w:color="F2ABA9" w:themeColor="accent2" w:themeTint="97"/>
        <w:insideH w:val="single" w:sz="4" w:space="0" w:color="F2ABA9" w:themeColor="accent2" w:themeTint="97"/>
        <w:insideV w:val="single" w:sz="4" w:space="0" w:color="F2ABA9" w:themeColor="accent2" w:themeTint="97"/>
      </w:tblBorders>
      <w:tblCellMar>
        <w:top w:w="0" w:type="dxa"/>
        <w:left w:w="108" w:type="dxa"/>
        <w:bottom w:w="0" w:type="dxa"/>
        <w:right w:w="108" w:type="dxa"/>
      </w:tblCellMar>
    </w:tblPr>
    <w:trPr>
      <w:hidden/>
    </w:trPr>
    <w:tblStylePr w:type="firstRow">
      <w:rPr>
        <w:rFonts w:ascii="Arial" w:hAnsi="Arial"/>
        <w:b/>
        <w:color w:val="F2ABA9" w:themeColor="accent2" w:themeTint="97" w:themeShade="95"/>
        <w:sz w:val="22"/>
      </w:rPr>
      <w:tblPr/>
      <w:trPr>
        <w:hidden/>
      </w:trPr>
      <w:tcPr>
        <w:tcBorders>
          <w:top w:val="none" w:sz="4" w:space="0" w:color="000000"/>
          <w:left w:val="none" w:sz="4" w:space="0" w:color="000000"/>
          <w:bottom w:val="single" w:sz="4" w:space="0" w:color="F2ABA9" w:themeColor="accent2" w:themeTint="97"/>
          <w:right w:val="none" w:sz="4" w:space="0" w:color="000000"/>
        </w:tcBorders>
        <w:shd w:val="clear" w:color="FFFFFF" w:themeColor="light1" w:fill="FFFFFF" w:themeFill="light1"/>
      </w:tcPr>
    </w:tblStylePr>
    <w:tblStylePr w:type="lastRow">
      <w:rPr>
        <w:rFonts w:ascii="Arial" w:hAnsi="Arial"/>
        <w:b/>
        <w:color w:val="F2ABA9" w:themeColor="accent2" w:themeTint="97" w:themeShade="95"/>
        <w:sz w:val="22"/>
      </w:rPr>
      <w:tblPr/>
      <w:trPr>
        <w:hidden/>
      </w:trPr>
      <w:tcPr>
        <w:tcBorders>
          <w:top w:val="single" w:sz="4" w:space="0" w:color="F2ABA9"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BA9" w:themeColor="accent2" w:themeTint="97" w:themeShade="95"/>
        <w:sz w:val="22"/>
      </w:rPr>
      <w:tblPr/>
      <w:trPr>
        <w:hidden/>
      </w:trPr>
      <w:tcPr>
        <w:tcBorders>
          <w:top w:val="none" w:sz="4" w:space="0" w:color="000000"/>
          <w:left w:val="none" w:sz="4" w:space="0" w:color="000000"/>
          <w:bottom w:val="none" w:sz="4" w:space="0" w:color="000000"/>
          <w:right w:val="single" w:sz="4" w:space="0" w:color="F2ABA9" w:themeColor="accent2" w:themeTint="97"/>
        </w:tcBorders>
        <w:shd w:val="clear" w:color="FFFFFF" w:fill="auto"/>
      </w:tcPr>
    </w:tblStylePr>
    <w:tblStylePr w:type="lastCol">
      <w:rPr>
        <w:rFonts w:ascii="Arial" w:hAnsi="Arial"/>
        <w:i/>
        <w:color w:val="F2ABA9" w:themeColor="accent2" w:themeTint="97" w:themeShade="95"/>
        <w:sz w:val="22"/>
      </w:rPr>
      <w:tblPr/>
      <w:trPr>
        <w:hidden/>
      </w:trPr>
      <w:tcPr>
        <w:tcBorders>
          <w:top w:val="none" w:sz="4" w:space="0" w:color="000000"/>
          <w:left w:val="single" w:sz="4" w:space="0" w:color="F2ABA9" w:themeColor="accent2" w:themeTint="97"/>
          <w:bottom w:val="none" w:sz="4" w:space="0" w:color="000000"/>
          <w:right w:val="none" w:sz="4" w:space="0" w:color="000000"/>
        </w:tcBorders>
        <w:shd w:val="clear" w:color="FFFFFF" w:fill="auto"/>
      </w:tcPr>
    </w:tblStylePr>
    <w:tblStylePr w:type="band1Vert">
      <w:tblPr/>
      <w:trPr>
        <w:hidden/>
      </w:trPr>
      <w:tcPr>
        <w:shd w:val="clear" w:color="FBE2E2" w:themeColor="accent2" w:themeTint="32" w:fill="FBE2E2" w:themeFill="accent2" w:themeFillTint="32"/>
      </w:tcPr>
    </w:tblStylePr>
    <w:tblStylePr w:type="band1Horz">
      <w:rPr>
        <w:rFonts w:ascii="Arial" w:hAnsi="Arial"/>
        <w:color w:val="F2ABA9" w:themeColor="accent2" w:themeTint="97" w:themeShade="95"/>
        <w:sz w:val="22"/>
      </w:rPr>
      <w:tblPr/>
      <w:trPr>
        <w:hidden/>
      </w:trPr>
      <w:tcPr>
        <w:shd w:val="clear" w:color="FBE2E2" w:themeColor="accent2" w:themeTint="32" w:fill="FBE2E2" w:themeFill="accent2" w:themeFillTint="32"/>
      </w:tcPr>
    </w:tblStylePr>
    <w:tblStylePr w:type="band2Horz">
      <w:rPr>
        <w:rFonts w:ascii="Arial" w:hAnsi="Arial"/>
        <w:color w:val="F2ABA9"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A9D774" w:themeColor="accent3" w:themeTint="FE"/>
        <w:right w:val="single" w:sz="4" w:space="0" w:color="A9D774" w:themeColor="accent3" w:themeTint="FE"/>
        <w:insideH w:val="single" w:sz="4" w:space="0" w:color="A9D774" w:themeColor="accent3" w:themeTint="FE"/>
        <w:insideV w:val="single" w:sz="4" w:space="0" w:color="A9D774" w:themeColor="accent3" w:themeTint="FE"/>
      </w:tblBorders>
      <w:tblCellMar>
        <w:top w:w="0" w:type="dxa"/>
        <w:left w:w="108" w:type="dxa"/>
        <w:bottom w:w="0" w:type="dxa"/>
        <w:right w:w="108" w:type="dxa"/>
      </w:tblCellMar>
    </w:tblPr>
    <w:trPr>
      <w:hidden/>
    </w:trPr>
    <w:tblStylePr w:type="firstRow">
      <w:rPr>
        <w:rFonts w:ascii="Arial" w:hAnsi="Arial"/>
        <w:b/>
        <w:color w:val="A9D774" w:themeColor="accent3" w:themeTint="FE" w:themeShade="95"/>
        <w:sz w:val="22"/>
      </w:rPr>
      <w:tblPr/>
      <w:trPr>
        <w:hidden/>
      </w:trPr>
      <w:tcPr>
        <w:tcBorders>
          <w:top w:val="none" w:sz="4" w:space="0" w:color="000000"/>
          <w:left w:val="none" w:sz="4" w:space="0" w:color="000000"/>
          <w:bottom w:val="single" w:sz="4" w:space="0" w:color="A9D774" w:themeColor="accent3" w:themeTint="FE"/>
          <w:right w:val="none" w:sz="4" w:space="0" w:color="000000"/>
        </w:tcBorders>
        <w:shd w:val="clear" w:color="FFFFFF" w:themeColor="light1" w:fill="FFFFFF" w:themeFill="light1"/>
      </w:tcPr>
    </w:tblStylePr>
    <w:tblStylePr w:type="lastRow">
      <w:rPr>
        <w:rFonts w:ascii="Arial" w:hAnsi="Arial"/>
        <w:b/>
        <w:color w:val="A9D774" w:themeColor="accent3" w:themeTint="FE" w:themeShade="95"/>
        <w:sz w:val="22"/>
      </w:rPr>
      <w:tblPr/>
      <w:trPr>
        <w:hidden/>
      </w:trPr>
      <w:tcPr>
        <w:tcBorders>
          <w:top w:val="single" w:sz="4" w:space="0" w:color="A9D77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774" w:themeColor="accent3" w:themeTint="FE" w:themeShade="95"/>
        <w:sz w:val="22"/>
      </w:rPr>
      <w:tblPr/>
      <w:trPr>
        <w:hidden/>
      </w:trPr>
      <w:tcPr>
        <w:tcBorders>
          <w:top w:val="none" w:sz="4" w:space="0" w:color="000000"/>
          <w:left w:val="none" w:sz="4" w:space="0" w:color="000000"/>
          <w:bottom w:val="none" w:sz="4" w:space="0" w:color="000000"/>
          <w:right w:val="single" w:sz="4" w:space="0" w:color="A9D774" w:themeColor="accent3" w:themeTint="FE"/>
        </w:tcBorders>
        <w:shd w:val="clear" w:color="FFFFFF" w:fill="auto"/>
      </w:tcPr>
    </w:tblStylePr>
    <w:tblStylePr w:type="lastCol">
      <w:rPr>
        <w:rFonts w:ascii="Arial" w:hAnsi="Arial"/>
        <w:i/>
        <w:color w:val="A9D774" w:themeColor="accent3" w:themeTint="FE" w:themeShade="95"/>
        <w:sz w:val="22"/>
      </w:rPr>
      <w:tblPr/>
      <w:trPr>
        <w:hidden/>
      </w:trPr>
      <w:tcPr>
        <w:tcBorders>
          <w:top w:val="none" w:sz="4" w:space="0" w:color="000000"/>
          <w:left w:val="single" w:sz="4" w:space="0" w:color="A9D774" w:themeColor="accent3" w:themeTint="FE"/>
          <w:bottom w:val="none" w:sz="4" w:space="0" w:color="000000"/>
          <w:right w:val="none" w:sz="4" w:space="0" w:color="000000"/>
        </w:tcBorders>
        <w:shd w:val="clear" w:color="FFFFFF" w:fill="auto"/>
      </w:tcPr>
    </w:tblStylePr>
    <w:tblStylePr w:type="band1Vert">
      <w:tblPr/>
      <w:trPr>
        <w:hidden/>
      </w:trPr>
      <w:tcPr>
        <w:shd w:val="clear" w:color="EDF6E2" w:themeColor="accent3" w:themeTint="34" w:fill="EDF6E2" w:themeFill="accent3" w:themeFillTint="34"/>
      </w:tcPr>
    </w:tblStylePr>
    <w:tblStylePr w:type="band1Horz">
      <w:rPr>
        <w:rFonts w:ascii="Arial" w:hAnsi="Arial"/>
        <w:color w:val="A9D774" w:themeColor="accent3" w:themeTint="FE" w:themeShade="95"/>
        <w:sz w:val="22"/>
      </w:rPr>
      <w:tblPr/>
      <w:trPr>
        <w:hidden/>
      </w:trPr>
      <w:tcPr>
        <w:shd w:val="clear" w:color="EDF6E2" w:themeColor="accent3" w:themeTint="34" w:fill="EDF6E2" w:themeFill="accent3" w:themeFillTint="34"/>
      </w:tcPr>
    </w:tblStylePr>
    <w:tblStylePr w:type="band2Horz">
      <w:rPr>
        <w:rFonts w:ascii="Arial" w:hAnsi="Arial"/>
        <w:color w:val="A9D774"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C9B8DE" w:themeColor="accent4" w:themeTint="9A"/>
        <w:right w:val="single" w:sz="4" w:space="0" w:color="C9B8DE" w:themeColor="accent4" w:themeTint="9A"/>
        <w:insideH w:val="single" w:sz="4" w:space="0" w:color="C9B8DE" w:themeColor="accent4" w:themeTint="9A"/>
        <w:insideV w:val="single" w:sz="4" w:space="0" w:color="C9B8DE" w:themeColor="accent4" w:themeTint="9A"/>
      </w:tblBorders>
      <w:tblCellMar>
        <w:top w:w="0" w:type="dxa"/>
        <w:left w:w="108" w:type="dxa"/>
        <w:bottom w:w="0" w:type="dxa"/>
        <w:right w:w="108" w:type="dxa"/>
      </w:tblCellMar>
    </w:tblPr>
    <w:trPr>
      <w:hidden/>
    </w:trPr>
    <w:tblStylePr w:type="firstRow">
      <w:rPr>
        <w:rFonts w:ascii="Arial" w:hAnsi="Arial"/>
        <w:b/>
        <w:color w:val="C9B8DE" w:themeColor="accent4" w:themeTint="9A" w:themeShade="95"/>
        <w:sz w:val="22"/>
      </w:rPr>
      <w:tblPr/>
      <w:trPr>
        <w:hidden/>
      </w:trPr>
      <w:tcPr>
        <w:tcBorders>
          <w:top w:val="none" w:sz="4" w:space="0" w:color="000000"/>
          <w:left w:val="none" w:sz="4" w:space="0" w:color="000000"/>
          <w:bottom w:val="single" w:sz="4" w:space="0" w:color="C9B8DE" w:themeColor="accent4" w:themeTint="9A"/>
          <w:right w:val="none" w:sz="4" w:space="0" w:color="000000"/>
        </w:tcBorders>
        <w:shd w:val="clear" w:color="FFFFFF" w:themeColor="light1" w:fill="FFFFFF" w:themeFill="light1"/>
      </w:tcPr>
    </w:tblStylePr>
    <w:tblStylePr w:type="lastRow">
      <w:rPr>
        <w:rFonts w:ascii="Arial" w:hAnsi="Arial"/>
        <w:b/>
        <w:color w:val="C9B8DE" w:themeColor="accent4" w:themeTint="9A" w:themeShade="95"/>
        <w:sz w:val="22"/>
      </w:rPr>
      <w:tblPr/>
      <w:trPr>
        <w:hidden/>
      </w:trPr>
      <w:tcPr>
        <w:tcBorders>
          <w:top w:val="single" w:sz="4" w:space="0" w:color="C9B8DE"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B8DE" w:themeColor="accent4" w:themeTint="9A" w:themeShade="95"/>
        <w:sz w:val="22"/>
      </w:rPr>
      <w:tblPr/>
      <w:trPr>
        <w:hidden/>
      </w:trPr>
      <w:tcPr>
        <w:tcBorders>
          <w:top w:val="none" w:sz="4" w:space="0" w:color="000000"/>
          <w:left w:val="none" w:sz="4" w:space="0" w:color="000000"/>
          <w:bottom w:val="none" w:sz="4" w:space="0" w:color="000000"/>
          <w:right w:val="single" w:sz="4" w:space="0" w:color="C9B8DE" w:themeColor="accent4" w:themeTint="9A"/>
        </w:tcBorders>
        <w:shd w:val="clear" w:color="FFFFFF" w:fill="auto"/>
      </w:tcPr>
    </w:tblStylePr>
    <w:tblStylePr w:type="lastCol">
      <w:rPr>
        <w:rFonts w:ascii="Arial" w:hAnsi="Arial"/>
        <w:i/>
        <w:color w:val="C9B8DE" w:themeColor="accent4" w:themeTint="9A" w:themeShade="95"/>
        <w:sz w:val="22"/>
      </w:rPr>
      <w:tblPr/>
      <w:trPr>
        <w:hidden/>
      </w:trPr>
      <w:tcPr>
        <w:tcBorders>
          <w:top w:val="none" w:sz="4" w:space="0" w:color="000000"/>
          <w:left w:val="single" w:sz="4" w:space="0" w:color="C9B8DE" w:themeColor="accent4" w:themeTint="9A"/>
          <w:bottom w:val="none" w:sz="4" w:space="0" w:color="000000"/>
          <w:right w:val="none" w:sz="4" w:space="0" w:color="000000"/>
        </w:tcBorders>
        <w:shd w:val="clear" w:color="FFFFFF" w:fill="auto"/>
      </w:tcPr>
    </w:tblStylePr>
    <w:tblStylePr w:type="band1Vert">
      <w:tblPr/>
      <w:trPr>
        <w:hidden/>
      </w:trPr>
      <w:tcPr>
        <w:shd w:val="clear" w:color="EDE7F4" w:themeColor="accent4" w:themeTint="34" w:fill="EDE7F4" w:themeFill="accent4" w:themeFillTint="34"/>
      </w:tcPr>
    </w:tblStylePr>
    <w:tblStylePr w:type="band1Horz">
      <w:rPr>
        <w:rFonts w:ascii="Arial" w:hAnsi="Arial"/>
        <w:color w:val="C9B8DE" w:themeColor="accent4" w:themeTint="9A" w:themeShade="95"/>
        <w:sz w:val="22"/>
      </w:rPr>
      <w:tblPr/>
      <w:trPr>
        <w:hidden/>
      </w:trPr>
      <w:tcPr>
        <w:shd w:val="clear" w:color="EDE7F4" w:themeColor="accent4" w:themeTint="34" w:fill="EDE7F4" w:themeFill="accent4" w:themeFillTint="34"/>
      </w:tcPr>
    </w:tblStylePr>
    <w:tblStylePr w:type="band2Horz">
      <w:rPr>
        <w:rFonts w:ascii="Arial" w:hAnsi="Arial"/>
        <w:color w:val="C9B8DE"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B2E1EE" w:themeColor="accent5" w:themeTint="90"/>
        <w:right w:val="single" w:sz="4" w:space="0" w:color="B2E1EE" w:themeColor="accent5" w:themeTint="90"/>
        <w:insideH w:val="single" w:sz="4" w:space="0" w:color="B2E1EE" w:themeColor="accent5" w:themeTint="90"/>
        <w:insideV w:val="single" w:sz="4" w:space="0" w:color="B2E1EE" w:themeColor="accent5" w:themeTint="90"/>
      </w:tblBorders>
      <w:tblCellMar>
        <w:top w:w="0" w:type="dxa"/>
        <w:left w:w="108" w:type="dxa"/>
        <w:bottom w:w="0" w:type="dxa"/>
        <w:right w:w="108" w:type="dxa"/>
      </w:tblCellMar>
    </w:tblPr>
    <w:trPr>
      <w:hidden/>
    </w:trPr>
    <w:tblStylePr w:type="firstRow">
      <w:rPr>
        <w:rFonts w:ascii="Arial" w:hAnsi="Arial"/>
        <w:b/>
        <w:color w:val="2489A4" w:themeColor="accent5" w:themeShade="95"/>
        <w:sz w:val="22"/>
      </w:rPr>
      <w:tblPr/>
      <w:trPr>
        <w:hidden/>
      </w:trPr>
      <w:tcPr>
        <w:tcBorders>
          <w:top w:val="none" w:sz="4" w:space="0" w:color="000000"/>
          <w:left w:val="none" w:sz="4" w:space="0" w:color="000000"/>
          <w:bottom w:val="single" w:sz="4" w:space="0" w:color="B2E1EE" w:themeColor="accent5" w:themeTint="90"/>
          <w:right w:val="none" w:sz="4" w:space="0" w:color="000000"/>
        </w:tcBorders>
        <w:shd w:val="clear" w:color="FFFFFF" w:themeColor="light1" w:fill="FFFFFF" w:themeFill="light1"/>
      </w:tcPr>
    </w:tblStylePr>
    <w:tblStylePr w:type="lastRow">
      <w:rPr>
        <w:rFonts w:ascii="Arial" w:hAnsi="Arial"/>
        <w:b/>
        <w:color w:val="2489A4" w:themeColor="accent5" w:themeShade="95"/>
        <w:sz w:val="22"/>
      </w:rPr>
      <w:tblPr/>
      <w:trPr>
        <w:hidden/>
      </w:trPr>
      <w:tcPr>
        <w:tcBorders>
          <w:top w:val="single" w:sz="4" w:space="0" w:color="B2E1E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89A4" w:themeColor="accent5" w:themeShade="95"/>
        <w:sz w:val="22"/>
      </w:rPr>
      <w:tblPr/>
      <w:trPr>
        <w:hidden/>
      </w:trPr>
      <w:tcPr>
        <w:tcBorders>
          <w:top w:val="none" w:sz="4" w:space="0" w:color="000000"/>
          <w:left w:val="none" w:sz="4" w:space="0" w:color="000000"/>
          <w:bottom w:val="none" w:sz="4" w:space="0" w:color="000000"/>
          <w:right w:val="single" w:sz="4" w:space="0" w:color="B2E1EE" w:themeColor="accent5" w:themeTint="90"/>
        </w:tcBorders>
        <w:shd w:val="clear" w:color="FFFFFF" w:fill="auto"/>
      </w:tcPr>
    </w:tblStylePr>
    <w:tblStylePr w:type="lastCol">
      <w:rPr>
        <w:rFonts w:ascii="Arial" w:hAnsi="Arial"/>
        <w:i/>
        <w:color w:val="2489A4" w:themeColor="accent5" w:themeShade="95"/>
        <w:sz w:val="22"/>
      </w:rPr>
      <w:tblPr/>
      <w:trPr>
        <w:hidden/>
      </w:trPr>
      <w:tcPr>
        <w:tcBorders>
          <w:top w:val="none" w:sz="4" w:space="0" w:color="000000"/>
          <w:left w:val="single" w:sz="4" w:space="0" w:color="B2E1EE" w:themeColor="accent5" w:themeTint="90"/>
          <w:bottom w:val="none" w:sz="4" w:space="0" w:color="000000"/>
          <w:right w:val="none" w:sz="4" w:space="0" w:color="000000"/>
        </w:tcBorders>
        <w:shd w:val="clear" w:color="FFFFFF" w:fill="auto"/>
      </w:tcPr>
    </w:tblStylePr>
    <w:tblStylePr w:type="band1Vert">
      <w:tblPr/>
      <w:trPr>
        <w:hidden/>
      </w:trPr>
      <w:tcPr>
        <w:shd w:val="clear" w:color="E3F4F9" w:themeColor="accent5" w:themeTint="34" w:fill="E3F4F9" w:themeFill="accent5" w:themeFillTint="34"/>
      </w:tcPr>
    </w:tblStylePr>
    <w:tblStylePr w:type="band1Horz">
      <w:rPr>
        <w:rFonts w:ascii="Arial" w:hAnsi="Arial"/>
        <w:color w:val="2489A4" w:themeColor="accent5" w:themeShade="95"/>
        <w:sz w:val="22"/>
      </w:rPr>
      <w:tblPr/>
      <w:trPr>
        <w:hidden/>
      </w:trPr>
      <w:tcPr>
        <w:shd w:val="clear" w:color="E3F4F9" w:themeColor="accent5" w:themeTint="34" w:fill="E3F4F9" w:themeFill="accent5" w:themeFillTint="34"/>
      </w:tcPr>
    </w:tblStylePr>
    <w:tblStylePr w:type="band2Horz">
      <w:rPr>
        <w:rFonts w:ascii="Arial" w:hAnsi="Arial"/>
        <w:color w:val="2489A4"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DDABE" w:themeColor="accent6" w:themeTint="90"/>
        <w:right w:val="single" w:sz="4" w:space="0" w:color="FDDABE" w:themeColor="accent6" w:themeTint="90"/>
        <w:insideH w:val="single" w:sz="4" w:space="0" w:color="FDDABE" w:themeColor="accent6" w:themeTint="90"/>
        <w:insideV w:val="single" w:sz="4" w:space="0" w:color="FDDABE" w:themeColor="accent6" w:themeTint="90"/>
      </w:tblBorders>
      <w:tblCellMar>
        <w:top w:w="0" w:type="dxa"/>
        <w:left w:w="108" w:type="dxa"/>
        <w:bottom w:w="0" w:type="dxa"/>
        <w:right w:w="108" w:type="dxa"/>
      </w:tblCellMar>
    </w:tblPr>
    <w:trPr>
      <w:hidden/>
    </w:trPr>
    <w:tblStylePr w:type="firstRow">
      <w:rPr>
        <w:rFonts w:ascii="Arial" w:hAnsi="Arial"/>
        <w:b/>
        <w:color w:val="DF6806" w:themeColor="accent6" w:themeShade="95"/>
        <w:sz w:val="22"/>
      </w:rPr>
      <w:tblPr/>
      <w:trPr>
        <w:hidden/>
      </w:trPr>
      <w:tcPr>
        <w:tcBorders>
          <w:top w:val="none" w:sz="4" w:space="0" w:color="000000"/>
          <w:left w:val="none" w:sz="4" w:space="0" w:color="000000"/>
          <w:bottom w:val="single" w:sz="4" w:space="0" w:color="FDDABE" w:themeColor="accent6" w:themeTint="90"/>
          <w:right w:val="none" w:sz="4" w:space="0" w:color="000000"/>
        </w:tcBorders>
        <w:shd w:val="clear" w:color="FFFFFF" w:themeColor="light1" w:fill="FFFFFF" w:themeFill="light1"/>
      </w:tcPr>
    </w:tblStylePr>
    <w:tblStylePr w:type="lastRow">
      <w:rPr>
        <w:rFonts w:ascii="Arial" w:hAnsi="Arial"/>
        <w:b/>
        <w:color w:val="DF6806" w:themeColor="accent6" w:themeShade="95"/>
        <w:sz w:val="22"/>
      </w:rPr>
      <w:tblPr/>
      <w:trPr>
        <w:hidden/>
      </w:trPr>
      <w:tcPr>
        <w:tcBorders>
          <w:top w:val="single" w:sz="4" w:space="0" w:color="FDDABE"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F6806" w:themeColor="accent6" w:themeShade="95"/>
        <w:sz w:val="22"/>
      </w:rPr>
      <w:tblPr/>
      <w:trPr>
        <w:hidden/>
      </w:trPr>
      <w:tcPr>
        <w:tcBorders>
          <w:top w:val="none" w:sz="4" w:space="0" w:color="000000"/>
          <w:left w:val="none" w:sz="4" w:space="0" w:color="000000"/>
          <w:bottom w:val="none" w:sz="4" w:space="0" w:color="000000"/>
          <w:right w:val="single" w:sz="4" w:space="0" w:color="FDDABE" w:themeColor="accent6" w:themeTint="90"/>
        </w:tcBorders>
        <w:shd w:val="clear" w:color="FFFFFF" w:fill="auto"/>
      </w:tcPr>
    </w:tblStylePr>
    <w:tblStylePr w:type="lastCol">
      <w:rPr>
        <w:rFonts w:ascii="Arial" w:hAnsi="Arial"/>
        <w:i/>
        <w:color w:val="DF6806" w:themeColor="accent6" w:themeShade="95"/>
        <w:sz w:val="22"/>
      </w:rPr>
      <w:tblPr/>
      <w:trPr>
        <w:hidden/>
      </w:trPr>
      <w:tcPr>
        <w:tcBorders>
          <w:top w:val="none" w:sz="4" w:space="0" w:color="000000"/>
          <w:left w:val="single" w:sz="4" w:space="0" w:color="FDDABE" w:themeColor="accent6" w:themeTint="90"/>
          <w:bottom w:val="none" w:sz="4" w:space="0" w:color="000000"/>
          <w:right w:val="none" w:sz="4" w:space="0" w:color="000000"/>
        </w:tcBorders>
        <w:shd w:val="clear" w:color="FFFFFF" w:fill="auto"/>
      </w:tcPr>
    </w:tblStylePr>
    <w:tblStylePr w:type="band1Vert">
      <w:tblPr/>
      <w:trPr>
        <w:hidden/>
      </w:trPr>
      <w:tcPr>
        <w:shd w:val="clear" w:color="FEF1E7" w:themeColor="accent6" w:themeTint="34" w:fill="FEF1E7" w:themeFill="accent6" w:themeFillTint="34"/>
      </w:tcPr>
    </w:tblStylePr>
    <w:tblStylePr w:type="band1Horz">
      <w:rPr>
        <w:rFonts w:ascii="Arial" w:hAnsi="Arial"/>
        <w:color w:val="DF6806" w:themeColor="accent6" w:themeShade="95"/>
        <w:sz w:val="22"/>
      </w:rPr>
      <w:tblPr/>
      <w:trPr>
        <w:hidden/>
      </w:trPr>
      <w:tcPr>
        <w:shd w:val="clear" w:color="FEF1E7" w:themeColor="accent6" w:themeTint="34" w:fill="FEF1E7" w:themeFill="accent6" w:themeFillTint="34"/>
      </w:tcPr>
    </w:tblStylePr>
    <w:tblStylePr w:type="band2Horz">
      <w:rPr>
        <w:rFonts w:ascii="Arial" w:hAnsi="Arial"/>
        <w:color w:val="DF6806"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rPr>
        <w:hidden/>
      </w:tr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BFBFBF" w:themeColor="text1" w:themeTint="40" w:fill="BFBFBF" w:themeFill="text1" w:themeFillTint="40"/>
      </w:tcPr>
    </w:tblStylePr>
    <w:tblStylePr w:type="band1Horz">
      <w:tblPr/>
      <w:trPr>
        <w:hidden/>
      </w:tr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7EAADF" w:themeColor="accent1"/>
          <w:right w:val="none" w:sz="4" w:space="0" w:color="000000"/>
        </w:tcBorders>
      </w:tcPr>
    </w:tblStylePr>
    <w:tblStylePr w:type="lastRow">
      <w:rPr>
        <w:b/>
        <w:color w:val="404040"/>
      </w:rPr>
      <w:tblPr/>
      <w:trPr>
        <w:hidden/>
      </w:trPr>
      <w:tcPr>
        <w:tcBorders>
          <w:top w:val="single" w:sz="4" w:space="0" w:color="7EAADF"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DEE9F7" w:themeColor="accent1" w:themeTint="40" w:fill="DEE9F7" w:themeFill="accent1" w:themeFillTint="40"/>
      </w:tcPr>
    </w:tblStylePr>
    <w:tblStylePr w:type="band1Horz">
      <w:tblPr/>
      <w:trPr>
        <w:hidden/>
      </w:trPr>
      <w:tcPr>
        <w:shd w:val="clear" w:color="DEE9F7" w:themeColor="accent1" w:themeTint="40" w:fill="DEE9F7"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EA726F" w:themeColor="accent2"/>
          <w:right w:val="none" w:sz="4" w:space="0" w:color="000000"/>
        </w:tcBorders>
      </w:tcPr>
    </w:tblStylePr>
    <w:tblStylePr w:type="lastRow">
      <w:rPr>
        <w:b/>
        <w:color w:val="404040"/>
      </w:rPr>
      <w:tblPr/>
      <w:trPr>
        <w:hidden/>
      </w:trPr>
      <w:tcPr>
        <w:tcBorders>
          <w:top w:val="single" w:sz="4" w:space="0" w:color="EA726F"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F9DBDA" w:themeColor="accent2" w:themeTint="40" w:fill="F9DBDA" w:themeFill="accent2" w:themeFillTint="40"/>
      </w:tcPr>
    </w:tblStylePr>
    <w:tblStylePr w:type="band1Horz">
      <w:tblPr/>
      <w:trPr>
        <w:hidden/>
      </w:trPr>
      <w:tcPr>
        <w:shd w:val="clear" w:color="F9DBDA" w:themeColor="accent2" w:themeTint="40" w:fill="F9DBDA"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A9D774" w:themeColor="accent3"/>
          <w:right w:val="none" w:sz="4" w:space="0" w:color="000000"/>
        </w:tcBorders>
      </w:tcPr>
    </w:tblStylePr>
    <w:tblStylePr w:type="lastRow">
      <w:rPr>
        <w:b/>
        <w:color w:val="404040"/>
      </w:rPr>
      <w:tblPr/>
      <w:trPr>
        <w:hidden/>
      </w:trPr>
      <w:tcPr>
        <w:tcBorders>
          <w:top w:val="single" w:sz="4" w:space="0" w:color="A9D77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E9F5DC" w:themeColor="accent3" w:themeTint="40" w:fill="E9F5DC" w:themeFill="accent3" w:themeFillTint="40"/>
      </w:tcPr>
    </w:tblStylePr>
    <w:tblStylePr w:type="band1Horz">
      <w:tblPr/>
      <w:trPr>
        <w:hidden/>
      </w:trPr>
      <w:tcPr>
        <w:shd w:val="clear" w:color="E9F5DC" w:themeColor="accent3" w:themeTint="40" w:fill="E9F5DC"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A78BC9" w:themeColor="accent4"/>
          <w:right w:val="none" w:sz="4" w:space="0" w:color="000000"/>
        </w:tcBorders>
      </w:tcPr>
    </w:tblStylePr>
    <w:tblStylePr w:type="lastRow">
      <w:rPr>
        <w:b/>
        <w:color w:val="404040"/>
      </w:rPr>
      <w:tblPr/>
      <w:trPr>
        <w:hidden/>
      </w:trPr>
      <w:tcPr>
        <w:tcBorders>
          <w:top w:val="single" w:sz="4" w:space="0" w:color="A78BC9"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E8E1F1" w:themeColor="accent4" w:themeTint="40" w:fill="E8E1F1" w:themeFill="accent4" w:themeFillTint="40"/>
      </w:tcPr>
    </w:tblStylePr>
    <w:tblStylePr w:type="band1Horz">
      <w:tblPr/>
      <w:trPr>
        <w:hidden/>
      </w:trPr>
      <w:tcPr>
        <w:shd w:val="clear" w:color="E8E1F1" w:themeColor="accent4" w:themeTint="40" w:fill="E8E1F1"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78CBE1" w:themeColor="accent5"/>
          <w:right w:val="none" w:sz="4" w:space="0" w:color="000000"/>
        </w:tcBorders>
      </w:tcPr>
    </w:tblStylePr>
    <w:tblStylePr w:type="lastRow">
      <w:rPr>
        <w:b/>
        <w:color w:val="404040"/>
      </w:rPr>
      <w:tblPr/>
      <w:trPr>
        <w:hidden/>
      </w:trPr>
      <w:tcPr>
        <w:tcBorders>
          <w:top w:val="single" w:sz="4" w:space="0" w:color="78CBE1"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DCF1F7" w:themeColor="accent5" w:themeTint="40" w:fill="DCF1F7" w:themeFill="accent5" w:themeFillTint="40"/>
      </w:tcPr>
    </w:tblStylePr>
    <w:tblStylePr w:type="band1Horz">
      <w:tblPr/>
      <w:trPr>
        <w:hidden/>
      </w:trPr>
      <w:tcPr>
        <w:shd w:val="clear" w:color="DCF1F7" w:themeColor="accent5" w:themeTint="40" w:fill="DCF1F7"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rPr>
      <w:hidden/>
    </w:trPr>
    <w:tblStylePr w:type="firstRow">
      <w:rPr>
        <w:b/>
        <w:color w:val="404040"/>
      </w:rPr>
      <w:tblPr/>
      <w:trPr>
        <w:hidden/>
      </w:trPr>
      <w:tcPr>
        <w:tcBorders>
          <w:top w:val="none" w:sz="4" w:space="0" w:color="000000"/>
          <w:left w:val="none" w:sz="4" w:space="0" w:color="000000"/>
          <w:bottom w:val="single" w:sz="4" w:space="0" w:color="FCBF8C" w:themeColor="accent6"/>
          <w:right w:val="none" w:sz="4" w:space="0" w:color="000000"/>
        </w:tcBorders>
      </w:tcPr>
    </w:tblStylePr>
    <w:tblStylePr w:type="lastRow">
      <w:rPr>
        <w:b/>
        <w:color w:val="404040"/>
      </w:rPr>
      <w:tblPr/>
      <w:trPr>
        <w:hidden/>
      </w:trPr>
      <w:tcPr>
        <w:tcBorders>
          <w:top w:val="single" w:sz="4" w:space="0" w:color="FCBF8C"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rPr>
        <w:hidden/>
      </w:trPr>
      <w:tcPr>
        <w:shd w:val="clear" w:color="FEEEE2" w:themeColor="accent6" w:themeTint="40" w:fill="FEEEE2" w:themeFill="accent6" w:themeFillTint="40"/>
      </w:tcPr>
    </w:tblStylePr>
    <w:tblStylePr w:type="band1Horz">
      <w:tblPr/>
      <w:trPr>
        <w:hidden/>
      </w:trPr>
      <w:tcPr>
        <w:shd w:val="clear" w:color="FEEEE2" w:themeColor="accent6" w:themeTint="40" w:fill="FEEEE2"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rPr>
        <w:hidden/>
      </w:tr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BFBFBF" w:themeColor="text1" w:themeTint="40" w:fill="BFBFBF" w:themeFill="text1" w:themeFillTint="40"/>
      </w:tcPr>
    </w:tblStylePr>
    <w:tblStylePr w:type="band1Horz">
      <w:rPr>
        <w:rFonts w:ascii="Arial" w:hAnsi="Arial"/>
        <w:color w:val="404040"/>
        <w:sz w:val="22"/>
      </w:rPr>
      <w:tblPr/>
      <w:trPr>
        <w:hidden/>
      </w:tr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B6CEED" w:themeColor="accent1" w:themeTint="90"/>
        <w:bottom w:val="single" w:sz="4" w:space="0" w:color="B6CEED" w:themeColor="accent1" w:themeTint="90"/>
        <w:insideH w:val="single" w:sz="4" w:space="0" w:color="B6CEED" w:themeColor="accent1"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B6CEED" w:themeColor="accent1" w:themeTint="90"/>
          <w:left w:val="none" w:sz="4" w:space="0" w:color="000000"/>
          <w:bottom w:val="single" w:sz="4" w:space="0" w:color="B6CEED" w:themeColor="accent1" w:themeTint="90"/>
          <w:right w:val="none" w:sz="4" w:space="0" w:color="000000"/>
        </w:tcBorders>
      </w:tcPr>
    </w:tblStylePr>
    <w:tblStylePr w:type="lastRow">
      <w:rPr>
        <w:rFonts w:ascii="Arial" w:hAnsi="Arial"/>
        <w:b/>
        <w:color w:val="404040"/>
        <w:sz w:val="22"/>
      </w:rPr>
      <w:tblPr/>
      <w:trPr>
        <w:hidden/>
      </w:trPr>
      <w:tcPr>
        <w:tcBorders>
          <w:top w:val="single" w:sz="4" w:space="0" w:color="B6CEED" w:themeColor="accent1" w:themeTint="90"/>
          <w:left w:val="none" w:sz="4" w:space="0" w:color="000000"/>
          <w:bottom w:val="single" w:sz="4" w:space="0" w:color="B6CEE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DEE9F7" w:themeColor="accent1" w:themeTint="40" w:fill="DEE9F7" w:themeFill="accent1" w:themeFillTint="40"/>
      </w:tcPr>
    </w:tblStylePr>
    <w:tblStylePr w:type="band1Horz">
      <w:rPr>
        <w:rFonts w:ascii="Arial" w:hAnsi="Arial"/>
        <w:color w:val="404040"/>
        <w:sz w:val="22"/>
      </w:rPr>
      <w:tblPr/>
      <w:trPr>
        <w:hidden/>
      </w:trPr>
      <w:tcPr>
        <w:shd w:val="clear" w:color="DEE9F7" w:themeColor="accent1" w:themeTint="40" w:fill="DEE9F7"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F3AFAD" w:themeColor="accent2" w:themeTint="90"/>
        <w:bottom w:val="single" w:sz="4" w:space="0" w:color="F3AFAD" w:themeColor="accent2" w:themeTint="90"/>
        <w:insideH w:val="single" w:sz="4" w:space="0" w:color="F3AFAD" w:themeColor="accent2"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F3AFAD" w:themeColor="accent2" w:themeTint="90"/>
          <w:left w:val="none" w:sz="4" w:space="0" w:color="000000"/>
          <w:bottom w:val="single" w:sz="4" w:space="0" w:color="F3AFAD" w:themeColor="accent2" w:themeTint="90"/>
          <w:right w:val="none" w:sz="4" w:space="0" w:color="000000"/>
        </w:tcBorders>
      </w:tcPr>
    </w:tblStylePr>
    <w:tblStylePr w:type="lastRow">
      <w:rPr>
        <w:rFonts w:ascii="Arial" w:hAnsi="Arial"/>
        <w:b/>
        <w:color w:val="404040"/>
        <w:sz w:val="22"/>
      </w:rPr>
      <w:tblPr/>
      <w:trPr>
        <w:hidden/>
      </w:trPr>
      <w:tcPr>
        <w:tcBorders>
          <w:top w:val="single" w:sz="4" w:space="0" w:color="F3AFAD" w:themeColor="accent2" w:themeTint="90"/>
          <w:left w:val="none" w:sz="4" w:space="0" w:color="000000"/>
          <w:bottom w:val="single" w:sz="4" w:space="0" w:color="F3AFAD"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F9DBDA" w:themeColor="accent2" w:themeTint="40" w:fill="F9DBDA" w:themeFill="accent2" w:themeFillTint="40"/>
      </w:tcPr>
    </w:tblStylePr>
    <w:tblStylePr w:type="band1Horz">
      <w:rPr>
        <w:rFonts w:ascii="Arial" w:hAnsi="Arial"/>
        <w:color w:val="404040"/>
        <w:sz w:val="22"/>
      </w:rPr>
      <w:tblPr/>
      <w:trPr>
        <w:hidden/>
      </w:trPr>
      <w:tcPr>
        <w:shd w:val="clear" w:color="F9DBDA" w:themeColor="accent2" w:themeTint="40" w:fill="F9DBDA"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EE8B0" w:themeColor="accent3" w:themeTint="90"/>
        <w:bottom w:val="single" w:sz="4" w:space="0" w:color="CEE8B0" w:themeColor="accent3" w:themeTint="90"/>
        <w:insideH w:val="single" w:sz="4" w:space="0" w:color="CEE8B0" w:themeColor="accent3"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CEE8B0" w:themeColor="accent3" w:themeTint="90"/>
          <w:left w:val="none" w:sz="4" w:space="0" w:color="000000"/>
          <w:bottom w:val="single" w:sz="4" w:space="0" w:color="CEE8B0" w:themeColor="accent3" w:themeTint="90"/>
          <w:right w:val="none" w:sz="4" w:space="0" w:color="000000"/>
        </w:tcBorders>
      </w:tcPr>
    </w:tblStylePr>
    <w:tblStylePr w:type="lastRow">
      <w:rPr>
        <w:rFonts w:ascii="Arial" w:hAnsi="Arial"/>
        <w:b/>
        <w:color w:val="404040"/>
        <w:sz w:val="22"/>
      </w:rPr>
      <w:tblPr/>
      <w:trPr>
        <w:hidden/>
      </w:trPr>
      <w:tcPr>
        <w:tcBorders>
          <w:top w:val="single" w:sz="4" w:space="0" w:color="CEE8B0" w:themeColor="accent3" w:themeTint="90"/>
          <w:left w:val="none" w:sz="4" w:space="0" w:color="000000"/>
          <w:bottom w:val="single" w:sz="4" w:space="0" w:color="CEE8B0"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E9F5DC" w:themeColor="accent3" w:themeTint="40" w:fill="E9F5DC" w:themeFill="accent3" w:themeFillTint="40"/>
      </w:tcPr>
    </w:tblStylePr>
    <w:tblStylePr w:type="band1Horz">
      <w:rPr>
        <w:rFonts w:ascii="Arial" w:hAnsi="Arial"/>
        <w:color w:val="404040"/>
        <w:sz w:val="22"/>
      </w:rPr>
      <w:tblPr/>
      <w:trPr>
        <w:hidden/>
      </w:trPr>
      <w:tcPr>
        <w:shd w:val="clear" w:color="E9F5DC" w:themeColor="accent3" w:themeTint="40" w:fill="E9F5DC"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CDBDE0" w:themeColor="accent4" w:themeTint="90"/>
        <w:bottom w:val="single" w:sz="4" w:space="0" w:color="CDBDE0" w:themeColor="accent4" w:themeTint="90"/>
        <w:insideH w:val="single" w:sz="4" w:space="0" w:color="CDBDE0" w:themeColor="accent4"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CDBDE0" w:themeColor="accent4" w:themeTint="90"/>
          <w:left w:val="none" w:sz="4" w:space="0" w:color="000000"/>
          <w:bottom w:val="single" w:sz="4" w:space="0" w:color="CDBDE0" w:themeColor="accent4" w:themeTint="90"/>
          <w:right w:val="none" w:sz="4" w:space="0" w:color="000000"/>
        </w:tcBorders>
      </w:tcPr>
    </w:tblStylePr>
    <w:tblStylePr w:type="lastRow">
      <w:rPr>
        <w:rFonts w:ascii="Arial" w:hAnsi="Arial"/>
        <w:b/>
        <w:color w:val="404040"/>
        <w:sz w:val="22"/>
      </w:rPr>
      <w:tblPr/>
      <w:trPr>
        <w:hidden/>
      </w:trPr>
      <w:tcPr>
        <w:tcBorders>
          <w:top w:val="single" w:sz="4" w:space="0" w:color="CDBDE0" w:themeColor="accent4" w:themeTint="90"/>
          <w:left w:val="none" w:sz="4" w:space="0" w:color="000000"/>
          <w:bottom w:val="single" w:sz="4" w:space="0" w:color="CDBDE0"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E8E1F1" w:themeColor="accent4" w:themeTint="40" w:fill="E8E1F1" w:themeFill="accent4" w:themeFillTint="40"/>
      </w:tcPr>
    </w:tblStylePr>
    <w:tblStylePr w:type="band1Horz">
      <w:rPr>
        <w:rFonts w:ascii="Arial" w:hAnsi="Arial"/>
        <w:color w:val="404040"/>
        <w:sz w:val="22"/>
      </w:rPr>
      <w:tblPr/>
      <w:trPr>
        <w:hidden/>
      </w:trPr>
      <w:tcPr>
        <w:shd w:val="clear" w:color="E8E1F1" w:themeColor="accent4" w:themeTint="40" w:fill="E8E1F1"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B2E1EE" w:themeColor="accent5" w:themeTint="90"/>
        <w:bottom w:val="single" w:sz="4" w:space="0" w:color="B2E1EE" w:themeColor="accent5" w:themeTint="90"/>
        <w:insideH w:val="single" w:sz="4" w:space="0" w:color="B2E1EE" w:themeColor="accent5"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B2E1EE" w:themeColor="accent5" w:themeTint="90"/>
          <w:left w:val="none" w:sz="4" w:space="0" w:color="000000"/>
          <w:bottom w:val="single" w:sz="4" w:space="0" w:color="B2E1EE" w:themeColor="accent5" w:themeTint="90"/>
          <w:right w:val="none" w:sz="4" w:space="0" w:color="000000"/>
        </w:tcBorders>
      </w:tcPr>
    </w:tblStylePr>
    <w:tblStylePr w:type="lastRow">
      <w:rPr>
        <w:rFonts w:ascii="Arial" w:hAnsi="Arial"/>
        <w:b/>
        <w:color w:val="404040"/>
        <w:sz w:val="22"/>
      </w:rPr>
      <w:tblPr/>
      <w:trPr>
        <w:hidden/>
      </w:trPr>
      <w:tcPr>
        <w:tcBorders>
          <w:top w:val="single" w:sz="4" w:space="0" w:color="B2E1EE" w:themeColor="accent5" w:themeTint="90"/>
          <w:left w:val="none" w:sz="4" w:space="0" w:color="000000"/>
          <w:bottom w:val="single" w:sz="4" w:space="0" w:color="B2E1E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DCF1F7" w:themeColor="accent5" w:themeTint="40" w:fill="DCF1F7" w:themeFill="accent5" w:themeFillTint="40"/>
      </w:tcPr>
    </w:tblStylePr>
    <w:tblStylePr w:type="band1Horz">
      <w:rPr>
        <w:rFonts w:ascii="Arial" w:hAnsi="Arial"/>
        <w:color w:val="404040"/>
        <w:sz w:val="22"/>
      </w:rPr>
      <w:tblPr/>
      <w:trPr>
        <w:hidden/>
      </w:trPr>
      <w:tcPr>
        <w:shd w:val="clear" w:color="DCF1F7" w:themeColor="accent5" w:themeTint="40" w:fill="DCF1F7"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DDABE" w:themeColor="accent6" w:themeTint="90"/>
        <w:bottom w:val="single" w:sz="4" w:space="0" w:color="FDDABE" w:themeColor="accent6" w:themeTint="90"/>
        <w:insideH w:val="single" w:sz="4" w:space="0" w:color="FDDABE" w:themeColor="accent6" w:themeTint="90"/>
      </w:tblBorders>
      <w:tblCellMar>
        <w:top w:w="0" w:type="dxa"/>
        <w:left w:w="108" w:type="dxa"/>
        <w:bottom w:w="0" w:type="dxa"/>
        <w:right w:w="108" w:type="dxa"/>
      </w:tblCellMar>
    </w:tblPr>
    <w:trPr>
      <w:hidden/>
    </w:trPr>
    <w:tblStylePr w:type="firstRow">
      <w:rPr>
        <w:rFonts w:ascii="Arial" w:hAnsi="Arial"/>
        <w:b/>
        <w:color w:val="404040"/>
        <w:sz w:val="22"/>
      </w:rPr>
      <w:tblPr/>
      <w:trPr>
        <w:hidden/>
      </w:trPr>
      <w:tcPr>
        <w:tcBorders>
          <w:top w:val="single" w:sz="4" w:space="0" w:color="FDDABE" w:themeColor="accent6" w:themeTint="90"/>
          <w:left w:val="none" w:sz="4" w:space="0" w:color="000000"/>
          <w:bottom w:val="single" w:sz="4" w:space="0" w:color="FDDABE" w:themeColor="accent6" w:themeTint="90"/>
          <w:right w:val="none" w:sz="4" w:space="0" w:color="000000"/>
        </w:tcBorders>
      </w:tcPr>
    </w:tblStylePr>
    <w:tblStylePr w:type="lastRow">
      <w:rPr>
        <w:rFonts w:ascii="Arial" w:hAnsi="Arial"/>
        <w:b/>
        <w:color w:val="404040"/>
        <w:sz w:val="22"/>
      </w:rPr>
      <w:tblPr/>
      <w:trPr>
        <w:hidden/>
      </w:trPr>
      <w:tcPr>
        <w:tcBorders>
          <w:top w:val="single" w:sz="4" w:space="0" w:color="FDDABE" w:themeColor="accent6" w:themeTint="90"/>
          <w:left w:val="none" w:sz="4" w:space="0" w:color="000000"/>
          <w:bottom w:val="single" w:sz="4" w:space="0" w:color="FDDABE"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rPr>
        <w:hidden/>
      </w:trPr>
      <w:tcPr>
        <w:shd w:val="clear" w:color="FEEEE2" w:themeColor="accent6" w:themeTint="40" w:fill="FEEEE2" w:themeFill="accent6" w:themeFillTint="40"/>
      </w:tcPr>
    </w:tblStylePr>
    <w:tblStylePr w:type="band1Horz">
      <w:rPr>
        <w:rFonts w:ascii="Arial" w:hAnsi="Arial"/>
        <w:color w:val="404040"/>
        <w:sz w:val="22"/>
      </w:rPr>
      <w:tblPr/>
      <w:trPr>
        <w:hidden/>
      </w:trPr>
      <w:tcPr>
        <w:shd w:val="clear" w:color="FEEEE2" w:themeColor="accent6" w:themeTint="40" w:fill="FEEEE2"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000000" w:themeColor="text1"/>
          <w:right w:val="single" w:sz="4" w:space="0" w:color="000000" w:themeColor="text1"/>
        </w:tcBorders>
      </w:tcPr>
    </w:tblStylePr>
    <w:tblStylePr w:type="band1Horz">
      <w:rPr>
        <w:rFonts w:ascii="Arial" w:hAnsi="Arial"/>
        <w:color w:val="404040"/>
        <w:sz w:val="22"/>
      </w:rPr>
      <w:tblPr/>
      <w:trPr>
        <w:hidden/>
      </w:tr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7EAADF" w:themeColor="accent1"/>
        <w:left w:val="single" w:sz="4" w:space="0" w:color="7EAADF" w:themeColor="accent1"/>
        <w:bottom w:val="single" w:sz="4" w:space="0" w:color="7EAADF" w:themeColor="accent1"/>
        <w:right w:val="single" w:sz="4" w:space="0" w:color="7EAADF" w:themeColor="accent1"/>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7EAADF" w:themeColor="accent1" w:fill="7EAADF"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7EAADF" w:themeColor="accent1"/>
          <w:right w:val="single" w:sz="4" w:space="0" w:color="7EAADF" w:themeColor="accent1"/>
        </w:tcBorders>
      </w:tcPr>
    </w:tblStylePr>
    <w:tblStylePr w:type="band1Horz">
      <w:rPr>
        <w:rFonts w:ascii="Arial" w:hAnsi="Arial"/>
        <w:color w:val="404040"/>
        <w:sz w:val="22"/>
      </w:rPr>
      <w:tblPr/>
      <w:trPr>
        <w:hidden/>
      </w:trPr>
      <w:tcPr>
        <w:tcBorders>
          <w:top w:val="single" w:sz="4" w:space="0" w:color="7EAADF" w:themeColor="accent1"/>
          <w:bottom w:val="single" w:sz="4" w:space="0" w:color="7EAADF"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F2ABA9" w:themeColor="accent2" w:themeTint="97" w:fill="F2ABA9"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F2ABA9" w:themeColor="accent2" w:themeTint="97"/>
          <w:right w:val="single" w:sz="4" w:space="0" w:color="F2ABA9" w:themeColor="accent2" w:themeTint="97"/>
        </w:tcBorders>
      </w:tcPr>
    </w:tblStylePr>
    <w:tblStylePr w:type="band1Horz">
      <w:rPr>
        <w:rFonts w:ascii="Arial" w:hAnsi="Arial"/>
        <w:color w:val="404040"/>
        <w:sz w:val="22"/>
      </w:rPr>
      <w:tblPr/>
      <w:trPr>
        <w:hidden/>
      </w:trPr>
      <w:tcPr>
        <w:tcBorders>
          <w:top w:val="single" w:sz="4" w:space="0" w:color="F2ABA9" w:themeColor="accent2" w:themeTint="97"/>
          <w:bottom w:val="single" w:sz="4" w:space="0" w:color="F2ABA9"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BE7AB" w:themeColor="accent3" w:themeTint="98"/>
        <w:left w:val="single" w:sz="4" w:space="0" w:color="CBE7AB" w:themeColor="accent3" w:themeTint="98"/>
        <w:bottom w:val="single" w:sz="4" w:space="0" w:color="CBE7AB" w:themeColor="accent3" w:themeTint="98"/>
        <w:right w:val="single" w:sz="4" w:space="0" w:color="CBE7AB" w:themeColor="accent3" w:themeTint="98"/>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CBE7AB" w:themeColor="accent3" w:themeTint="98" w:fill="CBE7A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CBE7AB" w:themeColor="accent3" w:themeTint="98"/>
          <w:right w:val="single" w:sz="4" w:space="0" w:color="CBE7AB" w:themeColor="accent3" w:themeTint="98"/>
        </w:tcBorders>
      </w:tcPr>
    </w:tblStylePr>
    <w:tblStylePr w:type="band1Horz">
      <w:rPr>
        <w:rFonts w:ascii="Arial" w:hAnsi="Arial"/>
        <w:color w:val="404040"/>
        <w:sz w:val="22"/>
      </w:rPr>
      <w:tblPr/>
      <w:trPr>
        <w:hidden/>
      </w:trPr>
      <w:tcPr>
        <w:tcBorders>
          <w:top w:val="single" w:sz="4" w:space="0" w:color="CBE7AB" w:themeColor="accent3" w:themeTint="98"/>
          <w:bottom w:val="single" w:sz="4" w:space="0" w:color="CBE7A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C9B8DE" w:themeColor="accent4" w:themeTint="9A" w:fill="C9B8DE"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C9B8DE" w:themeColor="accent4" w:themeTint="9A"/>
          <w:right w:val="single" w:sz="4" w:space="0" w:color="C9B8DE" w:themeColor="accent4" w:themeTint="9A"/>
        </w:tcBorders>
      </w:tcPr>
    </w:tblStylePr>
    <w:tblStylePr w:type="band1Horz">
      <w:rPr>
        <w:rFonts w:ascii="Arial" w:hAnsi="Arial"/>
        <w:color w:val="404040"/>
        <w:sz w:val="22"/>
      </w:rPr>
      <w:tblPr/>
      <w:trPr>
        <w:hidden/>
      </w:trPr>
      <w:tcPr>
        <w:tcBorders>
          <w:top w:val="single" w:sz="4" w:space="0" w:color="C9B8DE" w:themeColor="accent4" w:themeTint="9A"/>
          <w:bottom w:val="single" w:sz="4" w:space="0" w:color="C9B8DE"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ADDFED" w:themeColor="accent5" w:themeTint="9A"/>
        <w:left w:val="single" w:sz="4" w:space="0" w:color="ADDFED" w:themeColor="accent5" w:themeTint="9A"/>
        <w:bottom w:val="single" w:sz="4" w:space="0" w:color="ADDFED" w:themeColor="accent5" w:themeTint="9A"/>
        <w:right w:val="single" w:sz="4" w:space="0" w:color="ADDFED" w:themeColor="accent5" w:themeTint="9A"/>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ADDFED" w:themeColor="accent5" w:themeTint="9A" w:fill="ADDFED"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ADDFED" w:themeColor="accent5" w:themeTint="9A"/>
          <w:right w:val="single" w:sz="4" w:space="0" w:color="ADDFED" w:themeColor="accent5" w:themeTint="9A"/>
        </w:tcBorders>
      </w:tcPr>
    </w:tblStylePr>
    <w:tblStylePr w:type="band1Horz">
      <w:rPr>
        <w:rFonts w:ascii="Arial" w:hAnsi="Arial"/>
        <w:color w:val="404040"/>
        <w:sz w:val="22"/>
      </w:rPr>
      <w:tblPr/>
      <w:trPr>
        <w:hidden/>
      </w:trPr>
      <w:tcPr>
        <w:tcBorders>
          <w:top w:val="single" w:sz="4" w:space="0" w:color="ADDFED" w:themeColor="accent5" w:themeTint="9A"/>
          <w:bottom w:val="single" w:sz="4" w:space="0" w:color="ADDFED"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DD8BA" w:themeColor="accent6" w:themeTint="98"/>
        <w:left w:val="single" w:sz="4" w:space="0" w:color="FDD8BA" w:themeColor="accent6" w:themeTint="98"/>
        <w:bottom w:val="single" w:sz="4" w:space="0" w:color="FDD8BA" w:themeColor="accent6" w:themeTint="98"/>
        <w:right w:val="single" w:sz="4" w:space="0" w:color="FDD8BA" w:themeColor="accent6" w:themeTint="98"/>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FDD8BA" w:themeColor="accent6" w:themeTint="98" w:fill="FDD8BA"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tcBorders>
          <w:left w:val="single" w:sz="4" w:space="0" w:color="FDD8BA" w:themeColor="accent6" w:themeTint="98"/>
          <w:right w:val="single" w:sz="4" w:space="0" w:color="FDD8BA" w:themeColor="accent6" w:themeTint="98"/>
        </w:tcBorders>
      </w:tcPr>
    </w:tblStylePr>
    <w:tblStylePr w:type="band1Horz">
      <w:rPr>
        <w:rFonts w:ascii="Arial" w:hAnsi="Arial"/>
        <w:color w:val="404040"/>
        <w:sz w:val="22"/>
      </w:rPr>
      <w:tblPr/>
      <w:trPr>
        <w:hidden/>
      </w:trPr>
      <w:tcPr>
        <w:tcBorders>
          <w:top w:val="single" w:sz="4" w:space="0" w:color="FDD8BA" w:themeColor="accent6" w:themeTint="98"/>
          <w:bottom w:val="single" w:sz="4" w:space="0" w:color="FDD8BA"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BFBFBF" w:themeColor="text1" w:themeTint="40" w:fill="BFBFBF" w:themeFill="text1" w:themeFillTint="40"/>
      </w:tcPr>
    </w:tblStylePr>
    <w:tblStylePr w:type="band1Horz">
      <w:rPr>
        <w:rFonts w:ascii="Arial" w:hAnsi="Arial"/>
        <w:color w:val="404040"/>
        <w:sz w:val="22"/>
      </w:rPr>
      <w:tblPr/>
      <w:trPr>
        <w:hidden/>
      </w:tr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B6CEED" w:themeColor="accent1" w:themeTint="90"/>
        <w:left w:val="single" w:sz="4" w:space="0" w:color="B6CEED" w:themeColor="accent1" w:themeTint="90"/>
        <w:bottom w:val="single" w:sz="4" w:space="0" w:color="B6CEED" w:themeColor="accent1" w:themeTint="90"/>
        <w:right w:val="single" w:sz="4" w:space="0" w:color="B6CEED" w:themeColor="accent1" w:themeTint="90"/>
        <w:insideH w:val="single" w:sz="4" w:space="0" w:color="B6CEED" w:themeColor="accent1"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7EAADF" w:themeColor="accent1" w:fill="7EAADF"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DEE9F7" w:themeColor="accent1" w:themeTint="40" w:fill="DEE9F7" w:themeFill="accent1" w:themeFillTint="40"/>
      </w:tcPr>
    </w:tblStylePr>
    <w:tblStylePr w:type="band1Horz">
      <w:rPr>
        <w:rFonts w:ascii="Arial" w:hAnsi="Arial"/>
        <w:color w:val="404040"/>
        <w:sz w:val="22"/>
      </w:rPr>
      <w:tblPr/>
      <w:trPr>
        <w:hidden/>
      </w:trPr>
      <w:tcPr>
        <w:shd w:val="clear" w:color="DEE9F7" w:themeColor="accent1" w:themeTint="40" w:fill="DEE9F7"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F3AFAD" w:themeColor="accent2" w:themeTint="90"/>
        <w:left w:val="single" w:sz="4" w:space="0" w:color="F3AFAD" w:themeColor="accent2" w:themeTint="90"/>
        <w:bottom w:val="single" w:sz="4" w:space="0" w:color="F3AFAD" w:themeColor="accent2" w:themeTint="90"/>
        <w:right w:val="single" w:sz="4" w:space="0" w:color="F3AFAD" w:themeColor="accent2" w:themeTint="90"/>
        <w:insideH w:val="single" w:sz="4" w:space="0" w:color="F3AFAD" w:themeColor="accent2"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EA726F" w:themeColor="accent2" w:fill="EA726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9DBDA" w:themeColor="accent2" w:themeTint="40" w:fill="F9DBDA" w:themeFill="accent2" w:themeFillTint="40"/>
      </w:tcPr>
    </w:tblStylePr>
    <w:tblStylePr w:type="band1Horz">
      <w:rPr>
        <w:rFonts w:ascii="Arial" w:hAnsi="Arial"/>
        <w:color w:val="404040"/>
        <w:sz w:val="22"/>
      </w:rPr>
      <w:tblPr/>
      <w:trPr>
        <w:hidden/>
      </w:trPr>
      <w:tcPr>
        <w:shd w:val="clear" w:color="F9DBDA" w:themeColor="accent2" w:themeTint="40" w:fill="F9DBDA"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EE8B0" w:themeColor="accent3" w:themeTint="90"/>
        <w:left w:val="single" w:sz="4" w:space="0" w:color="CEE8B0" w:themeColor="accent3" w:themeTint="90"/>
        <w:bottom w:val="single" w:sz="4" w:space="0" w:color="CEE8B0" w:themeColor="accent3" w:themeTint="90"/>
        <w:right w:val="single" w:sz="4" w:space="0" w:color="CEE8B0" w:themeColor="accent3" w:themeTint="90"/>
        <w:insideH w:val="single" w:sz="4" w:space="0" w:color="CEE8B0" w:themeColor="accent3"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A9D774" w:themeColor="accent3" w:fill="A9D77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9F5DC" w:themeColor="accent3" w:themeTint="40" w:fill="E9F5DC" w:themeFill="accent3" w:themeFillTint="40"/>
      </w:tcPr>
    </w:tblStylePr>
    <w:tblStylePr w:type="band1Horz">
      <w:rPr>
        <w:rFonts w:ascii="Arial" w:hAnsi="Arial"/>
        <w:color w:val="404040"/>
        <w:sz w:val="22"/>
      </w:rPr>
      <w:tblPr/>
      <w:trPr>
        <w:hidden/>
      </w:trPr>
      <w:tcPr>
        <w:shd w:val="clear" w:color="E9F5DC" w:themeColor="accent3" w:themeTint="40" w:fill="E9F5DC"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CDBDE0" w:themeColor="accent4" w:themeTint="90"/>
        <w:left w:val="single" w:sz="4" w:space="0" w:color="CDBDE0" w:themeColor="accent4" w:themeTint="90"/>
        <w:bottom w:val="single" w:sz="4" w:space="0" w:color="CDBDE0" w:themeColor="accent4" w:themeTint="90"/>
        <w:right w:val="single" w:sz="4" w:space="0" w:color="CDBDE0" w:themeColor="accent4" w:themeTint="90"/>
        <w:insideH w:val="single" w:sz="4" w:space="0" w:color="CDBDE0" w:themeColor="accent4"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A78BC9" w:themeColor="accent4" w:fill="A78BC9"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E8E1F1" w:themeColor="accent4" w:themeTint="40" w:fill="E8E1F1" w:themeFill="accent4" w:themeFillTint="40"/>
      </w:tcPr>
    </w:tblStylePr>
    <w:tblStylePr w:type="band1Horz">
      <w:rPr>
        <w:rFonts w:ascii="Arial" w:hAnsi="Arial"/>
        <w:color w:val="404040"/>
        <w:sz w:val="22"/>
      </w:rPr>
      <w:tblPr/>
      <w:trPr>
        <w:hidden/>
      </w:trPr>
      <w:tcPr>
        <w:shd w:val="clear" w:color="E8E1F1" w:themeColor="accent4" w:themeTint="40" w:fill="E8E1F1"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B2E1EE" w:themeColor="accent5" w:themeTint="90"/>
        <w:left w:val="single" w:sz="4" w:space="0" w:color="B2E1EE" w:themeColor="accent5" w:themeTint="90"/>
        <w:bottom w:val="single" w:sz="4" w:space="0" w:color="B2E1EE" w:themeColor="accent5" w:themeTint="90"/>
        <w:right w:val="single" w:sz="4" w:space="0" w:color="B2E1EE" w:themeColor="accent5" w:themeTint="90"/>
        <w:insideH w:val="single" w:sz="4" w:space="0" w:color="B2E1EE" w:themeColor="accent5"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78CBE1" w:themeColor="accent5" w:fill="78CBE1"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DCF1F7" w:themeColor="accent5" w:themeTint="40" w:fill="DCF1F7" w:themeFill="accent5" w:themeFillTint="40"/>
      </w:tcPr>
    </w:tblStylePr>
    <w:tblStylePr w:type="band1Horz">
      <w:rPr>
        <w:rFonts w:ascii="Arial" w:hAnsi="Arial"/>
        <w:color w:val="404040"/>
        <w:sz w:val="22"/>
      </w:rPr>
      <w:tblPr/>
      <w:trPr>
        <w:hidden/>
      </w:trPr>
      <w:tcPr>
        <w:shd w:val="clear" w:color="DCF1F7" w:themeColor="accent5" w:themeTint="40" w:fill="DCF1F7"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DDABE" w:themeColor="accent6" w:themeTint="90"/>
        <w:left w:val="single" w:sz="4" w:space="0" w:color="FDDABE" w:themeColor="accent6" w:themeTint="90"/>
        <w:bottom w:val="single" w:sz="4" w:space="0" w:color="FDDABE" w:themeColor="accent6" w:themeTint="90"/>
        <w:right w:val="single" w:sz="4" w:space="0" w:color="FDDABE" w:themeColor="accent6" w:themeTint="90"/>
        <w:insideH w:val="single" w:sz="4" w:space="0" w:color="FDDABE" w:themeColor="accent6" w:themeTint="90"/>
      </w:tblBorders>
      <w:tblCellMar>
        <w:top w:w="0" w:type="dxa"/>
        <w:left w:w="108" w:type="dxa"/>
        <w:bottom w:w="0" w:type="dxa"/>
        <w:right w:w="108" w:type="dxa"/>
      </w:tblCellMar>
    </w:tblPr>
    <w:trPr>
      <w:hidden/>
    </w:trPr>
    <w:tblStylePr w:type="firstRow">
      <w:rPr>
        <w:rFonts w:ascii="Arial" w:hAnsi="Arial"/>
        <w:b/>
        <w:color w:val="FFFFFF"/>
        <w:sz w:val="22"/>
      </w:rPr>
      <w:tblPr/>
      <w:trPr>
        <w:hidden/>
      </w:trPr>
      <w:tcPr>
        <w:shd w:val="clear" w:color="FCBF8C" w:themeColor="accent6" w:fill="FCBF8C"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rPr>
        <w:hidden/>
      </w:trPr>
      <w:tcPr>
        <w:shd w:val="clear" w:color="FEEEE2" w:themeColor="accent6" w:themeTint="40" w:fill="FEEEE2" w:themeFill="accent6" w:themeFillTint="40"/>
      </w:tcPr>
    </w:tblStylePr>
    <w:tblStylePr w:type="band1Horz">
      <w:rPr>
        <w:rFonts w:ascii="Arial" w:hAnsi="Arial"/>
        <w:color w:val="404040"/>
        <w:sz w:val="22"/>
      </w:rPr>
      <w:tblPr/>
      <w:trPr>
        <w:hidden/>
      </w:trPr>
      <w:tcPr>
        <w:shd w:val="clear" w:color="FEEEE2" w:themeColor="accent6" w:themeTint="40" w:fill="FEEEE2"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7F7F7F" w:themeColor="text1" w:themeTint="80"/>
          <w:right w:val="single" w:sz="4" w:space="0" w:color="FFFFFF" w:themeColor="light1"/>
        </w:tcBorders>
      </w:tcPr>
    </w:tblStylePr>
    <w:tblStylePr w:type="lastCol">
      <w:tblPr/>
      <w:trPr>
        <w:hidden/>
      </w:trPr>
      <w:tcPr>
        <w:tcBorders>
          <w:left w:val="single" w:sz="4" w:space="0" w:color="FFFFFF" w:themeColor="light1"/>
          <w:right w:val="single" w:sz="32" w:space="0" w:color="7F7F7F" w:themeColor="text1" w:themeTint="80"/>
        </w:tcBorders>
      </w:tcPr>
    </w:tblStylePr>
    <w:tblStylePr w:type="band1Vert">
      <w:tblPr/>
      <w:trPr>
        <w:hidden/>
      </w:tr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rPr>
        <w:hidden/>
      </w:tr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7EAADF" w:themeColor="accent1"/>
        <w:left w:val="single" w:sz="32" w:space="0" w:color="7EAADF" w:themeColor="accent1"/>
        <w:bottom w:val="single" w:sz="32" w:space="0" w:color="7EAADF" w:themeColor="accent1"/>
        <w:right w:val="single" w:sz="32" w:space="0" w:color="7EAADF" w:themeColor="accent1"/>
      </w:tblBorders>
      <w:shd w:val="clear" w:color="7EAADF" w:themeColor="accent1" w:fill="7EAADF" w:themeFill="accent1"/>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7EAADF" w:themeColor="accent1"/>
          <w:bottom w:val="single" w:sz="12" w:space="0" w:color="FFFFFF" w:themeColor="light1"/>
        </w:tcBorders>
        <w:shd w:val="clear" w:color="7EAADF" w:themeColor="accent1" w:fill="7EAADF"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7EAADF" w:themeColor="accent1"/>
          <w:right w:val="single" w:sz="4" w:space="0" w:color="FFFFFF" w:themeColor="light1"/>
        </w:tcBorders>
      </w:tcPr>
    </w:tblStylePr>
    <w:tblStylePr w:type="lastCol">
      <w:tblPr/>
      <w:trPr>
        <w:hidden/>
      </w:trPr>
      <w:tcPr>
        <w:tcBorders>
          <w:left w:val="single" w:sz="4" w:space="0" w:color="FFFFFF" w:themeColor="light1"/>
          <w:right w:val="single" w:sz="32" w:space="0" w:color="7EAADF" w:themeColor="accent1"/>
        </w:tcBorders>
      </w:tcPr>
    </w:tblStylePr>
    <w:tblStylePr w:type="band1Vert">
      <w:tblPr/>
      <w:trPr>
        <w:hidden/>
      </w:trPr>
      <w:tcPr>
        <w:tcBorders>
          <w:left w:val="single" w:sz="4" w:space="0" w:color="FFFFFF" w:themeColor="light1"/>
          <w:right w:val="single" w:sz="4" w:space="0" w:color="FFFFFF" w:themeColor="light1"/>
        </w:tcBorders>
        <w:shd w:val="clear" w:color="7EAADF" w:themeColor="accent1" w:fill="7EAADF" w:themeFill="accent1"/>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7EAADF" w:themeColor="accent1" w:fill="7EAADF" w:themeFill="accent1"/>
      </w:tcPr>
    </w:tblStylePr>
    <w:tblStylePr w:type="band2Horz">
      <w:tblPr/>
      <w:trPr>
        <w:hidden/>
      </w:trPr>
      <w:tcPr>
        <w:tcBorders>
          <w:top w:val="single" w:sz="4" w:space="0" w:color="FFFFFF" w:themeColor="light1"/>
          <w:bottom w:val="single" w:sz="4" w:space="0" w:color="FFFFFF" w:themeColor="light1"/>
        </w:tcBorders>
        <w:shd w:val="clear" w:color="7EAADF" w:themeColor="accent1" w:fill="7EAADF"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F2ABA9" w:themeColor="accent2" w:themeTint="97"/>
        <w:left w:val="single" w:sz="32" w:space="0" w:color="F2ABA9" w:themeColor="accent2" w:themeTint="97"/>
        <w:bottom w:val="single" w:sz="32" w:space="0" w:color="F2ABA9" w:themeColor="accent2" w:themeTint="97"/>
        <w:right w:val="single" w:sz="32" w:space="0" w:color="F2ABA9" w:themeColor="accent2" w:themeTint="97"/>
      </w:tblBorders>
      <w:shd w:val="clear" w:color="F2ABA9" w:themeColor="accent2" w:themeTint="97" w:fill="F2ABA9" w:themeFill="accent2" w:themeFillTint="97"/>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F2ABA9" w:themeColor="accent2" w:themeTint="97"/>
          <w:bottom w:val="single" w:sz="12" w:space="0" w:color="FFFFFF" w:themeColor="light1"/>
        </w:tcBorders>
        <w:shd w:val="clear" w:color="F2ABA9" w:themeColor="accent2" w:themeTint="97" w:fill="F2ABA9"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F2ABA9" w:themeColor="accent2" w:themeTint="97"/>
          <w:right w:val="single" w:sz="4" w:space="0" w:color="FFFFFF" w:themeColor="light1"/>
        </w:tcBorders>
      </w:tcPr>
    </w:tblStylePr>
    <w:tblStylePr w:type="lastCol">
      <w:tblPr/>
      <w:trPr>
        <w:hidden/>
      </w:trPr>
      <w:tcPr>
        <w:tcBorders>
          <w:left w:val="single" w:sz="4" w:space="0" w:color="FFFFFF" w:themeColor="light1"/>
          <w:right w:val="single" w:sz="32" w:space="0" w:color="F2ABA9" w:themeColor="accent2" w:themeTint="97"/>
        </w:tcBorders>
      </w:tcPr>
    </w:tblStylePr>
    <w:tblStylePr w:type="band1Vert">
      <w:tblPr/>
      <w:trPr>
        <w:hidden/>
      </w:trPr>
      <w:tcPr>
        <w:tcBorders>
          <w:left w:val="single" w:sz="4" w:space="0" w:color="FFFFFF" w:themeColor="light1"/>
          <w:right w:val="single" w:sz="4" w:space="0" w:color="FFFFFF" w:themeColor="light1"/>
        </w:tcBorders>
        <w:shd w:val="clear" w:color="F2ABA9" w:themeColor="accent2" w:themeTint="97" w:fill="F2ABA9" w:themeFill="accent2" w:themeFillTint="97"/>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F2ABA9" w:themeColor="accent2" w:themeTint="97" w:fill="F2ABA9" w:themeFill="accent2" w:themeFillTint="97"/>
      </w:tcPr>
    </w:tblStylePr>
    <w:tblStylePr w:type="band2Horz">
      <w:tblPr/>
      <w:trPr>
        <w:hidden/>
      </w:trPr>
      <w:tcPr>
        <w:tcBorders>
          <w:top w:val="single" w:sz="4" w:space="0" w:color="FFFFFF" w:themeColor="light1"/>
          <w:bottom w:val="single" w:sz="4" w:space="0" w:color="FFFFFF" w:themeColor="light1"/>
        </w:tcBorders>
        <w:shd w:val="clear" w:color="F2ABA9" w:themeColor="accent2" w:themeTint="97" w:fill="F2ABA9"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BE7AB" w:themeColor="accent3" w:themeTint="98"/>
        <w:left w:val="single" w:sz="32" w:space="0" w:color="CBE7AB" w:themeColor="accent3" w:themeTint="98"/>
        <w:bottom w:val="single" w:sz="32" w:space="0" w:color="CBE7AB" w:themeColor="accent3" w:themeTint="98"/>
        <w:right w:val="single" w:sz="32" w:space="0" w:color="CBE7AB" w:themeColor="accent3" w:themeTint="98"/>
      </w:tblBorders>
      <w:shd w:val="clear" w:color="CBE7AB" w:themeColor="accent3" w:themeTint="98" w:fill="CBE7AB" w:themeFill="accent3" w:themeFillTint="98"/>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CBE7AB" w:themeColor="accent3" w:themeTint="98"/>
          <w:bottom w:val="single" w:sz="12" w:space="0" w:color="FFFFFF" w:themeColor="light1"/>
        </w:tcBorders>
        <w:shd w:val="clear" w:color="CBE7AB" w:themeColor="accent3" w:themeTint="98" w:fill="CBE7A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CBE7AB" w:themeColor="accent3" w:themeTint="98"/>
          <w:right w:val="single" w:sz="4" w:space="0" w:color="FFFFFF" w:themeColor="light1"/>
        </w:tcBorders>
      </w:tcPr>
    </w:tblStylePr>
    <w:tblStylePr w:type="lastCol">
      <w:tblPr/>
      <w:trPr>
        <w:hidden/>
      </w:trPr>
      <w:tcPr>
        <w:tcBorders>
          <w:left w:val="single" w:sz="4" w:space="0" w:color="FFFFFF" w:themeColor="light1"/>
          <w:right w:val="single" w:sz="32" w:space="0" w:color="CBE7AB" w:themeColor="accent3" w:themeTint="98"/>
        </w:tcBorders>
      </w:tcPr>
    </w:tblStylePr>
    <w:tblStylePr w:type="band1Vert">
      <w:tblPr/>
      <w:trPr>
        <w:hidden/>
      </w:trPr>
      <w:tcPr>
        <w:tcBorders>
          <w:left w:val="single" w:sz="4" w:space="0" w:color="FFFFFF" w:themeColor="light1"/>
          <w:right w:val="single" w:sz="4" w:space="0" w:color="FFFFFF" w:themeColor="light1"/>
        </w:tcBorders>
        <w:shd w:val="clear" w:color="CBE7AB" w:themeColor="accent3" w:themeTint="98" w:fill="CBE7AB" w:themeFill="accent3" w:themeFillTint="98"/>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CBE7AB" w:themeColor="accent3" w:themeTint="98" w:fill="CBE7AB" w:themeFill="accent3" w:themeFillTint="98"/>
      </w:tcPr>
    </w:tblStylePr>
    <w:tblStylePr w:type="band2Horz">
      <w:tblPr/>
      <w:trPr>
        <w:hidden/>
      </w:trPr>
      <w:tcPr>
        <w:tcBorders>
          <w:top w:val="single" w:sz="4" w:space="0" w:color="FFFFFF" w:themeColor="light1"/>
          <w:bottom w:val="single" w:sz="4" w:space="0" w:color="FFFFFF" w:themeColor="light1"/>
        </w:tcBorders>
        <w:shd w:val="clear" w:color="CBE7AB" w:themeColor="accent3" w:themeTint="98" w:fill="CBE7A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C9B8DE" w:themeColor="accent4" w:themeTint="9A"/>
        <w:left w:val="single" w:sz="32" w:space="0" w:color="C9B8DE" w:themeColor="accent4" w:themeTint="9A"/>
        <w:bottom w:val="single" w:sz="32" w:space="0" w:color="C9B8DE" w:themeColor="accent4" w:themeTint="9A"/>
        <w:right w:val="single" w:sz="32" w:space="0" w:color="C9B8DE" w:themeColor="accent4" w:themeTint="9A"/>
      </w:tblBorders>
      <w:shd w:val="clear" w:color="C9B8DE" w:themeColor="accent4" w:themeTint="9A" w:fill="C9B8DE" w:themeFill="accent4" w:themeFillTint="9A"/>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C9B8DE" w:themeColor="accent4" w:themeTint="9A"/>
          <w:bottom w:val="single" w:sz="12" w:space="0" w:color="FFFFFF" w:themeColor="light1"/>
        </w:tcBorders>
        <w:shd w:val="clear" w:color="C9B8DE" w:themeColor="accent4" w:themeTint="9A" w:fill="C9B8DE"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C9B8DE" w:themeColor="accent4" w:themeTint="9A"/>
          <w:right w:val="single" w:sz="4" w:space="0" w:color="FFFFFF" w:themeColor="light1"/>
        </w:tcBorders>
      </w:tcPr>
    </w:tblStylePr>
    <w:tblStylePr w:type="lastCol">
      <w:tblPr/>
      <w:trPr>
        <w:hidden/>
      </w:trPr>
      <w:tcPr>
        <w:tcBorders>
          <w:left w:val="single" w:sz="4" w:space="0" w:color="FFFFFF" w:themeColor="light1"/>
          <w:right w:val="single" w:sz="32" w:space="0" w:color="C9B8DE" w:themeColor="accent4" w:themeTint="9A"/>
        </w:tcBorders>
      </w:tcPr>
    </w:tblStylePr>
    <w:tblStylePr w:type="band1Vert">
      <w:tblPr/>
      <w:trPr>
        <w:hidden/>
      </w:trPr>
      <w:tcPr>
        <w:tcBorders>
          <w:left w:val="single" w:sz="4" w:space="0" w:color="FFFFFF" w:themeColor="light1"/>
          <w:right w:val="single" w:sz="4" w:space="0" w:color="FFFFFF" w:themeColor="light1"/>
        </w:tcBorders>
        <w:shd w:val="clear" w:color="C9B8DE" w:themeColor="accent4" w:themeTint="9A" w:fill="C9B8DE" w:themeFill="accent4" w:themeFillTint="9A"/>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C9B8DE" w:themeColor="accent4" w:themeTint="9A" w:fill="C9B8DE" w:themeFill="accent4" w:themeFillTint="9A"/>
      </w:tcPr>
    </w:tblStylePr>
    <w:tblStylePr w:type="band2Horz">
      <w:tblPr/>
      <w:trPr>
        <w:hidden/>
      </w:trPr>
      <w:tcPr>
        <w:tcBorders>
          <w:top w:val="single" w:sz="4" w:space="0" w:color="FFFFFF" w:themeColor="light1"/>
          <w:bottom w:val="single" w:sz="4" w:space="0" w:color="FFFFFF" w:themeColor="light1"/>
        </w:tcBorders>
        <w:shd w:val="clear" w:color="C9B8DE" w:themeColor="accent4" w:themeTint="9A" w:fill="C9B8DE"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ADDFED" w:themeColor="accent5" w:themeTint="9A"/>
        <w:left w:val="single" w:sz="32" w:space="0" w:color="ADDFED" w:themeColor="accent5" w:themeTint="9A"/>
        <w:bottom w:val="single" w:sz="32" w:space="0" w:color="ADDFED" w:themeColor="accent5" w:themeTint="9A"/>
        <w:right w:val="single" w:sz="32" w:space="0" w:color="ADDFED" w:themeColor="accent5" w:themeTint="9A"/>
      </w:tblBorders>
      <w:shd w:val="clear" w:color="ADDFED" w:themeColor="accent5" w:themeTint="9A" w:fill="ADDFED" w:themeFill="accent5" w:themeFillTint="9A"/>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ADDFED" w:themeColor="accent5" w:themeTint="9A"/>
          <w:bottom w:val="single" w:sz="12" w:space="0" w:color="FFFFFF" w:themeColor="light1"/>
        </w:tcBorders>
        <w:shd w:val="clear" w:color="ADDFED" w:themeColor="accent5" w:themeTint="9A" w:fill="ADDFED"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ADDFED" w:themeColor="accent5" w:themeTint="9A"/>
          <w:right w:val="single" w:sz="4" w:space="0" w:color="FFFFFF" w:themeColor="light1"/>
        </w:tcBorders>
      </w:tcPr>
    </w:tblStylePr>
    <w:tblStylePr w:type="lastCol">
      <w:tblPr/>
      <w:trPr>
        <w:hidden/>
      </w:trPr>
      <w:tcPr>
        <w:tcBorders>
          <w:left w:val="single" w:sz="4" w:space="0" w:color="FFFFFF" w:themeColor="light1"/>
          <w:right w:val="single" w:sz="32" w:space="0" w:color="ADDFED" w:themeColor="accent5" w:themeTint="9A"/>
        </w:tcBorders>
      </w:tcPr>
    </w:tblStylePr>
    <w:tblStylePr w:type="band1Vert">
      <w:tblPr/>
      <w:trPr>
        <w:hidden/>
      </w:trPr>
      <w:tcPr>
        <w:tcBorders>
          <w:left w:val="single" w:sz="4" w:space="0" w:color="FFFFFF" w:themeColor="light1"/>
          <w:right w:val="single" w:sz="4" w:space="0" w:color="FFFFFF" w:themeColor="light1"/>
        </w:tcBorders>
        <w:shd w:val="clear" w:color="ADDFED" w:themeColor="accent5" w:themeTint="9A" w:fill="ADDFED" w:themeFill="accent5" w:themeFillTint="9A"/>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ADDFED" w:themeColor="accent5" w:themeTint="9A" w:fill="ADDFED" w:themeFill="accent5" w:themeFillTint="9A"/>
      </w:tcPr>
    </w:tblStylePr>
    <w:tblStylePr w:type="band2Horz">
      <w:tblPr/>
      <w:trPr>
        <w:hidden/>
      </w:trPr>
      <w:tcPr>
        <w:tcBorders>
          <w:top w:val="single" w:sz="4" w:space="0" w:color="FFFFFF" w:themeColor="light1"/>
          <w:bottom w:val="single" w:sz="4" w:space="0" w:color="FFFFFF" w:themeColor="light1"/>
        </w:tcBorders>
        <w:shd w:val="clear" w:color="ADDFED" w:themeColor="accent5" w:themeTint="9A" w:fill="ADDFED"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DD8BA" w:themeColor="accent6" w:themeTint="98"/>
        <w:left w:val="single" w:sz="32" w:space="0" w:color="FDD8BA" w:themeColor="accent6" w:themeTint="98"/>
        <w:bottom w:val="single" w:sz="32" w:space="0" w:color="FDD8BA" w:themeColor="accent6" w:themeTint="98"/>
        <w:right w:val="single" w:sz="32" w:space="0" w:color="FDD8BA" w:themeColor="accent6" w:themeTint="98"/>
      </w:tblBorders>
      <w:shd w:val="clear" w:color="FDD8BA" w:themeColor="accent6" w:themeTint="98" w:fill="FDD8BA" w:themeFill="accent6" w:themeFillTint="98"/>
      <w:tblCellMar>
        <w:top w:w="0" w:type="dxa"/>
        <w:left w:w="108" w:type="dxa"/>
        <w:bottom w:w="0" w:type="dxa"/>
        <w:right w:w="108" w:type="dxa"/>
      </w:tblCellMar>
    </w:tblPr>
    <w:trPr>
      <w:hidden/>
    </w:trPr>
    <w:tblStylePr w:type="firstRow">
      <w:rPr>
        <w:rFonts w:ascii="Arial" w:hAnsi="Arial"/>
        <w:b/>
        <w:color w:val="FFFFFF" w:themeColor="light1"/>
        <w:sz w:val="22"/>
      </w:rPr>
      <w:tblPr/>
      <w:trPr>
        <w:hidden/>
      </w:trPr>
      <w:tcPr>
        <w:tcBorders>
          <w:top w:val="single" w:sz="32" w:space="0" w:color="FDD8BA" w:themeColor="accent6" w:themeTint="98"/>
          <w:bottom w:val="single" w:sz="12" w:space="0" w:color="FFFFFF" w:themeColor="light1"/>
        </w:tcBorders>
        <w:shd w:val="clear" w:color="FDD8BA" w:themeColor="accent6" w:themeTint="98" w:fill="FDD8BA"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rPr>
        <w:hidden/>
      </w:trPr>
      <w:tcPr>
        <w:tcBorders>
          <w:left w:val="single" w:sz="32" w:space="0" w:color="FDD8BA" w:themeColor="accent6" w:themeTint="98"/>
          <w:right w:val="single" w:sz="4" w:space="0" w:color="FFFFFF" w:themeColor="light1"/>
        </w:tcBorders>
      </w:tcPr>
    </w:tblStylePr>
    <w:tblStylePr w:type="lastCol">
      <w:tblPr/>
      <w:trPr>
        <w:hidden/>
      </w:trPr>
      <w:tcPr>
        <w:tcBorders>
          <w:left w:val="single" w:sz="4" w:space="0" w:color="FFFFFF" w:themeColor="light1"/>
          <w:right w:val="single" w:sz="32" w:space="0" w:color="FDD8BA" w:themeColor="accent6" w:themeTint="98"/>
        </w:tcBorders>
      </w:tcPr>
    </w:tblStylePr>
    <w:tblStylePr w:type="band1Vert">
      <w:tblPr/>
      <w:trPr>
        <w:hidden/>
      </w:trPr>
      <w:tcPr>
        <w:tcBorders>
          <w:left w:val="single" w:sz="4" w:space="0" w:color="FFFFFF" w:themeColor="light1"/>
          <w:right w:val="single" w:sz="4" w:space="0" w:color="FFFFFF" w:themeColor="light1"/>
        </w:tcBorders>
        <w:shd w:val="clear" w:color="FDD8BA" w:themeColor="accent6" w:themeTint="98" w:fill="FDD8BA" w:themeFill="accent6" w:themeFillTint="98"/>
      </w:tcPr>
    </w:tblStylePr>
    <w:tblStylePr w:type="band2Vert">
      <w:tblPr/>
      <w:trPr>
        <w:hidden/>
      </w:trPr>
      <w:tcPr>
        <w:tcBorders>
          <w:left w:val="single" w:sz="4" w:space="0" w:color="FFFFFF" w:themeColor="light1"/>
          <w:right w:val="single" w:sz="4" w:space="0" w:color="FFFFFF" w:themeColor="light1"/>
        </w:tcBorders>
      </w:tcPr>
    </w:tblStylePr>
    <w:tblStylePr w:type="band1Horz">
      <w:tblPr/>
      <w:trPr>
        <w:hidden/>
      </w:trPr>
      <w:tcPr>
        <w:tcBorders>
          <w:top w:val="single" w:sz="4" w:space="0" w:color="FFFFFF" w:themeColor="light1"/>
          <w:bottom w:val="single" w:sz="4" w:space="0" w:color="FFFFFF" w:themeColor="light1"/>
        </w:tcBorders>
        <w:shd w:val="clear" w:color="FDD8BA" w:themeColor="accent6" w:themeTint="98" w:fill="FDD8BA" w:themeFill="accent6" w:themeFillTint="98"/>
      </w:tcPr>
    </w:tblStylePr>
    <w:tblStylePr w:type="band2Horz">
      <w:tblPr/>
      <w:trPr>
        <w:hidden/>
      </w:trPr>
      <w:tcPr>
        <w:tcBorders>
          <w:top w:val="single" w:sz="4" w:space="0" w:color="FFFFFF" w:themeColor="light1"/>
          <w:bottom w:val="single" w:sz="4" w:space="0" w:color="FFFFFF" w:themeColor="light1"/>
        </w:tcBorders>
        <w:shd w:val="clear" w:color="FDD8BA" w:themeColor="accent6" w:themeTint="98" w:fill="FDD8BA"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rPr>
      <w:hidden/>
    </w:trPr>
    <w:tblStylePr w:type="firstRow">
      <w:rPr>
        <w:b/>
        <w:color w:val="000000" w:themeColor="text1"/>
      </w:rPr>
      <w:tblPr/>
      <w:trPr>
        <w:hidden/>
      </w:trPr>
      <w:tcPr>
        <w:tcBorders>
          <w:bottom w:val="single" w:sz="4" w:space="0" w:color="7F7F7F" w:themeColor="text1" w:themeTint="80"/>
        </w:tcBorders>
      </w:tcPr>
    </w:tblStylePr>
    <w:tblStylePr w:type="lastRow">
      <w:rPr>
        <w:b/>
        <w:color w:val="000000" w:themeColor="text1"/>
      </w:rPr>
      <w:tblPr/>
      <w:trPr>
        <w:hidden/>
      </w:tr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rPr>
        <w:hidden/>
      </w:trPr>
      <w:tcPr>
        <w:shd w:val="clear" w:color="BFBFBF" w:themeColor="text1" w:themeTint="40" w:fill="BFBFBF" w:themeFill="text1" w:themeFillTint="40"/>
      </w:tcPr>
    </w:tblStylePr>
    <w:tblStylePr w:type="band1Horz">
      <w:rPr>
        <w:rFonts w:ascii="Arial" w:hAnsi="Arial"/>
        <w:color w:val="000000" w:themeColor="text1"/>
        <w:sz w:val="22"/>
      </w:rPr>
      <w:tblPr/>
      <w:trPr>
        <w:hidden/>
      </w:tr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7EAADF" w:themeColor="accent1"/>
        <w:bottom w:val="single" w:sz="4" w:space="0" w:color="7EAADF" w:themeColor="accent1"/>
      </w:tblBorders>
      <w:tblCellMar>
        <w:top w:w="0" w:type="dxa"/>
        <w:left w:w="108" w:type="dxa"/>
        <w:bottom w:w="0" w:type="dxa"/>
        <w:right w:w="108" w:type="dxa"/>
      </w:tblCellMar>
    </w:tblPr>
    <w:trPr>
      <w:hidden/>
    </w:trPr>
    <w:tblStylePr w:type="firstRow">
      <w:rPr>
        <w:b/>
        <w:color w:val="285FA3" w:themeColor="accent1" w:themeShade="95"/>
      </w:rPr>
      <w:tblPr/>
      <w:trPr>
        <w:hidden/>
      </w:trPr>
      <w:tcPr>
        <w:tcBorders>
          <w:bottom w:val="single" w:sz="4" w:space="0" w:color="7EAADF" w:themeColor="accent1"/>
        </w:tcBorders>
      </w:tcPr>
    </w:tblStylePr>
    <w:tblStylePr w:type="lastRow">
      <w:rPr>
        <w:b/>
        <w:color w:val="285FA3" w:themeColor="accent1" w:themeShade="95"/>
      </w:rPr>
      <w:tblPr/>
      <w:trPr>
        <w:hidden/>
      </w:trPr>
      <w:tcPr>
        <w:tcBorders>
          <w:top w:val="single" w:sz="4" w:space="0" w:color="7EAADF" w:themeColor="accent1"/>
        </w:tcBorders>
      </w:tcPr>
    </w:tblStylePr>
    <w:tblStylePr w:type="firstCol">
      <w:rPr>
        <w:b/>
        <w:color w:val="285FA3" w:themeColor="accent1" w:themeShade="95"/>
      </w:rPr>
    </w:tblStylePr>
    <w:tblStylePr w:type="lastCol">
      <w:rPr>
        <w:b/>
        <w:color w:val="285FA3" w:themeColor="accent1" w:themeShade="95"/>
      </w:rPr>
    </w:tblStylePr>
    <w:tblStylePr w:type="band1Vert">
      <w:tblPr/>
      <w:trPr>
        <w:hidden/>
      </w:trPr>
      <w:tcPr>
        <w:shd w:val="clear" w:color="DEE9F7" w:themeColor="accent1" w:themeTint="40" w:fill="DEE9F7" w:themeFill="accent1" w:themeFillTint="40"/>
      </w:tcPr>
    </w:tblStylePr>
    <w:tblStylePr w:type="band1Horz">
      <w:rPr>
        <w:rFonts w:ascii="Arial" w:hAnsi="Arial"/>
        <w:color w:val="285FA3" w:themeColor="accent1" w:themeShade="95"/>
        <w:sz w:val="22"/>
      </w:rPr>
      <w:tblPr/>
      <w:trPr>
        <w:hidden/>
      </w:trPr>
      <w:tcPr>
        <w:shd w:val="clear" w:color="DEE9F7" w:themeColor="accent1" w:themeTint="40" w:fill="DEE9F7" w:themeFill="accent1" w:themeFillTint="40"/>
      </w:tcPr>
    </w:tblStylePr>
    <w:tblStylePr w:type="band2Horz">
      <w:rPr>
        <w:rFonts w:ascii="Arial" w:hAnsi="Arial"/>
        <w:color w:val="285FA3"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F2ABA9" w:themeColor="accent2" w:themeTint="97"/>
        <w:bottom w:val="single" w:sz="4" w:space="0" w:color="F2ABA9" w:themeColor="accent2" w:themeTint="97"/>
      </w:tblBorders>
      <w:tblCellMar>
        <w:top w:w="0" w:type="dxa"/>
        <w:left w:w="108" w:type="dxa"/>
        <w:bottom w:w="0" w:type="dxa"/>
        <w:right w:w="108" w:type="dxa"/>
      </w:tblCellMar>
    </w:tblPr>
    <w:trPr>
      <w:hidden/>
    </w:trPr>
    <w:tblStylePr w:type="firstRow">
      <w:rPr>
        <w:b/>
        <w:color w:val="F2ABA9" w:themeColor="accent2" w:themeTint="97" w:themeShade="95"/>
      </w:rPr>
      <w:tblPr/>
      <w:trPr>
        <w:hidden/>
      </w:trPr>
      <w:tcPr>
        <w:tcBorders>
          <w:bottom w:val="single" w:sz="4" w:space="0" w:color="F2ABA9" w:themeColor="accent2" w:themeTint="97"/>
        </w:tcBorders>
      </w:tcPr>
    </w:tblStylePr>
    <w:tblStylePr w:type="lastRow">
      <w:rPr>
        <w:b/>
        <w:color w:val="F2ABA9" w:themeColor="accent2" w:themeTint="97" w:themeShade="95"/>
      </w:rPr>
      <w:tblPr/>
      <w:trPr>
        <w:hidden/>
      </w:trPr>
      <w:tcPr>
        <w:tcBorders>
          <w:top w:val="single" w:sz="4" w:space="0" w:color="F2ABA9" w:themeColor="accent2" w:themeTint="97"/>
        </w:tcBorders>
      </w:tcPr>
    </w:tblStylePr>
    <w:tblStylePr w:type="firstCol">
      <w:rPr>
        <w:b/>
        <w:color w:val="F2ABA9" w:themeColor="accent2" w:themeTint="97" w:themeShade="95"/>
      </w:rPr>
    </w:tblStylePr>
    <w:tblStylePr w:type="lastCol">
      <w:rPr>
        <w:b/>
        <w:color w:val="F2ABA9" w:themeColor="accent2" w:themeTint="97" w:themeShade="95"/>
      </w:rPr>
    </w:tblStylePr>
    <w:tblStylePr w:type="band1Vert">
      <w:tblPr/>
      <w:trPr>
        <w:hidden/>
      </w:trPr>
      <w:tcPr>
        <w:shd w:val="clear" w:color="F9DBDA" w:themeColor="accent2" w:themeTint="40" w:fill="F9DBDA" w:themeFill="accent2" w:themeFillTint="40"/>
      </w:tcPr>
    </w:tblStylePr>
    <w:tblStylePr w:type="band1Horz">
      <w:rPr>
        <w:rFonts w:ascii="Arial" w:hAnsi="Arial"/>
        <w:color w:val="F2ABA9" w:themeColor="accent2" w:themeTint="97" w:themeShade="95"/>
        <w:sz w:val="22"/>
      </w:rPr>
      <w:tblPr/>
      <w:trPr>
        <w:hidden/>
      </w:trPr>
      <w:tcPr>
        <w:shd w:val="clear" w:color="F9DBDA" w:themeColor="accent2" w:themeTint="40" w:fill="F9DBDA" w:themeFill="accent2" w:themeFillTint="40"/>
      </w:tcPr>
    </w:tblStylePr>
    <w:tblStylePr w:type="band2Horz">
      <w:rPr>
        <w:rFonts w:ascii="Arial" w:hAnsi="Arial"/>
        <w:color w:val="F2ABA9"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BE7AB" w:themeColor="accent3" w:themeTint="98"/>
        <w:bottom w:val="single" w:sz="4" w:space="0" w:color="CBE7AB" w:themeColor="accent3" w:themeTint="98"/>
      </w:tblBorders>
      <w:tblCellMar>
        <w:top w:w="0" w:type="dxa"/>
        <w:left w:w="108" w:type="dxa"/>
        <w:bottom w:w="0" w:type="dxa"/>
        <w:right w:w="108" w:type="dxa"/>
      </w:tblCellMar>
    </w:tblPr>
    <w:trPr>
      <w:hidden/>
    </w:trPr>
    <w:tblStylePr w:type="firstRow">
      <w:rPr>
        <w:b/>
        <w:color w:val="CBE7AB" w:themeColor="accent3" w:themeTint="98" w:themeShade="95"/>
      </w:rPr>
      <w:tblPr/>
      <w:trPr>
        <w:hidden/>
      </w:trPr>
      <w:tcPr>
        <w:tcBorders>
          <w:bottom w:val="single" w:sz="4" w:space="0" w:color="CBE7AB" w:themeColor="accent3" w:themeTint="98"/>
        </w:tcBorders>
      </w:tcPr>
    </w:tblStylePr>
    <w:tblStylePr w:type="lastRow">
      <w:rPr>
        <w:b/>
        <w:color w:val="CBE7AB" w:themeColor="accent3" w:themeTint="98" w:themeShade="95"/>
      </w:rPr>
      <w:tblPr/>
      <w:trPr>
        <w:hidden/>
      </w:trPr>
      <w:tcPr>
        <w:tcBorders>
          <w:top w:val="single" w:sz="4" w:space="0" w:color="CBE7AB" w:themeColor="accent3" w:themeTint="98"/>
        </w:tcBorders>
      </w:tcPr>
    </w:tblStylePr>
    <w:tblStylePr w:type="firstCol">
      <w:rPr>
        <w:b/>
        <w:color w:val="CBE7AB" w:themeColor="accent3" w:themeTint="98" w:themeShade="95"/>
      </w:rPr>
    </w:tblStylePr>
    <w:tblStylePr w:type="lastCol">
      <w:rPr>
        <w:b/>
        <w:color w:val="CBE7AB" w:themeColor="accent3" w:themeTint="98" w:themeShade="95"/>
      </w:rPr>
    </w:tblStylePr>
    <w:tblStylePr w:type="band1Vert">
      <w:tblPr/>
      <w:trPr>
        <w:hidden/>
      </w:trPr>
      <w:tcPr>
        <w:shd w:val="clear" w:color="E9F5DC" w:themeColor="accent3" w:themeTint="40" w:fill="E9F5DC" w:themeFill="accent3" w:themeFillTint="40"/>
      </w:tcPr>
    </w:tblStylePr>
    <w:tblStylePr w:type="band1Horz">
      <w:rPr>
        <w:rFonts w:ascii="Arial" w:hAnsi="Arial"/>
        <w:color w:val="CBE7AB" w:themeColor="accent3" w:themeTint="98" w:themeShade="95"/>
        <w:sz w:val="22"/>
      </w:rPr>
      <w:tblPr/>
      <w:trPr>
        <w:hidden/>
      </w:trPr>
      <w:tcPr>
        <w:shd w:val="clear" w:color="E9F5DC" w:themeColor="accent3" w:themeTint="40" w:fill="E9F5DC" w:themeFill="accent3" w:themeFillTint="40"/>
      </w:tcPr>
    </w:tblStylePr>
    <w:tblStylePr w:type="band2Horz">
      <w:rPr>
        <w:rFonts w:ascii="Arial" w:hAnsi="Arial"/>
        <w:color w:val="CBE7A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C9B8DE" w:themeColor="accent4" w:themeTint="9A"/>
        <w:bottom w:val="single" w:sz="4" w:space="0" w:color="C9B8DE" w:themeColor="accent4" w:themeTint="9A"/>
      </w:tblBorders>
      <w:tblCellMar>
        <w:top w:w="0" w:type="dxa"/>
        <w:left w:w="108" w:type="dxa"/>
        <w:bottom w:w="0" w:type="dxa"/>
        <w:right w:w="108" w:type="dxa"/>
      </w:tblCellMar>
    </w:tblPr>
    <w:trPr>
      <w:hidden/>
    </w:trPr>
    <w:tblStylePr w:type="firstRow">
      <w:rPr>
        <w:b/>
        <w:color w:val="C9B8DE" w:themeColor="accent4" w:themeTint="9A" w:themeShade="95"/>
      </w:rPr>
      <w:tblPr/>
      <w:trPr>
        <w:hidden/>
      </w:trPr>
      <w:tcPr>
        <w:tcBorders>
          <w:bottom w:val="single" w:sz="4" w:space="0" w:color="C9B8DE" w:themeColor="accent4" w:themeTint="9A"/>
        </w:tcBorders>
      </w:tcPr>
    </w:tblStylePr>
    <w:tblStylePr w:type="lastRow">
      <w:rPr>
        <w:b/>
        <w:color w:val="C9B8DE" w:themeColor="accent4" w:themeTint="9A" w:themeShade="95"/>
      </w:rPr>
      <w:tblPr/>
      <w:trPr>
        <w:hidden/>
      </w:trPr>
      <w:tcPr>
        <w:tcBorders>
          <w:top w:val="single" w:sz="4" w:space="0" w:color="C9B8DE" w:themeColor="accent4" w:themeTint="9A"/>
        </w:tcBorders>
      </w:tcPr>
    </w:tblStylePr>
    <w:tblStylePr w:type="firstCol">
      <w:rPr>
        <w:b/>
        <w:color w:val="C9B8DE" w:themeColor="accent4" w:themeTint="9A" w:themeShade="95"/>
      </w:rPr>
    </w:tblStylePr>
    <w:tblStylePr w:type="lastCol">
      <w:rPr>
        <w:b/>
        <w:color w:val="C9B8DE" w:themeColor="accent4" w:themeTint="9A" w:themeShade="95"/>
      </w:rPr>
    </w:tblStylePr>
    <w:tblStylePr w:type="band1Vert">
      <w:tblPr/>
      <w:trPr>
        <w:hidden/>
      </w:trPr>
      <w:tcPr>
        <w:shd w:val="clear" w:color="E8E1F1" w:themeColor="accent4" w:themeTint="40" w:fill="E8E1F1" w:themeFill="accent4" w:themeFillTint="40"/>
      </w:tcPr>
    </w:tblStylePr>
    <w:tblStylePr w:type="band1Horz">
      <w:rPr>
        <w:rFonts w:ascii="Arial" w:hAnsi="Arial"/>
        <w:color w:val="C9B8DE" w:themeColor="accent4" w:themeTint="9A" w:themeShade="95"/>
        <w:sz w:val="22"/>
      </w:rPr>
      <w:tblPr/>
      <w:trPr>
        <w:hidden/>
      </w:trPr>
      <w:tcPr>
        <w:shd w:val="clear" w:color="E8E1F1" w:themeColor="accent4" w:themeTint="40" w:fill="E8E1F1" w:themeFill="accent4" w:themeFillTint="40"/>
      </w:tcPr>
    </w:tblStylePr>
    <w:tblStylePr w:type="band2Horz">
      <w:rPr>
        <w:rFonts w:ascii="Arial" w:hAnsi="Arial"/>
        <w:color w:val="C9B8DE"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ADDFED" w:themeColor="accent5" w:themeTint="9A"/>
        <w:bottom w:val="single" w:sz="4" w:space="0" w:color="ADDFED" w:themeColor="accent5" w:themeTint="9A"/>
      </w:tblBorders>
      <w:tblCellMar>
        <w:top w:w="0" w:type="dxa"/>
        <w:left w:w="108" w:type="dxa"/>
        <w:bottom w:w="0" w:type="dxa"/>
        <w:right w:w="108" w:type="dxa"/>
      </w:tblCellMar>
    </w:tblPr>
    <w:trPr>
      <w:hidden/>
    </w:trPr>
    <w:tblStylePr w:type="firstRow">
      <w:rPr>
        <w:b/>
        <w:color w:val="ADDFED" w:themeColor="accent5" w:themeTint="9A" w:themeShade="95"/>
      </w:rPr>
      <w:tblPr/>
      <w:trPr>
        <w:hidden/>
      </w:trPr>
      <w:tcPr>
        <w:tcBorders>
          <w:bottom w:val="single" w:sz="4" w:space="0" w:color="ADDFED" w:themeColor="accent5" w:themeTint="9A"/>
        </w:tcBorders>
      </w:tcPr>
    </w:tblStylePr>
    <w:tblStylePr w:type="lastRow">
      <w:rPr>
        <w:b/>
        <w:color w:val="ADDFED" w:themeColor="accent5" w:themeTint="9A" w:themeShade="95"/>
      </w:rPr>
      <w:tblPr/>
      <w:trPr>
        <w:hidden/>
      </w:trPr>
      <w:tcPr>
        <w:tcBorders>
          <w:top w:val="single" w:sz="4" w:space="0" w:color="ADDFED" w:themeColor="accent5" w:themeTint="9A"/>
        </w:tcBorders>
      </w:tcPr>
    </w:tblStylePr>
    <w:tblStylePr w:type="firstCol">
      <w:rPr>
        <w:b/>
        <w:color w:val="ADDFED" w:themeColor="accent5" w:themeTint="9A" w:themeShade="95"/>
      </w:rPr>
    </w:tblStylePr>
    <w:tblStylePr w:type="lastCol">
      <w:rPr>
        <w:b/>
        <w:color w:val="ADDFED" w:themeColor="accent5" w:themeTint="9A" w:themeShade="95"/>
      </w:rPr>
    </w:tblStylePr>
    <w:tblStylePr w:type="band1Vert">
      <w:tblPr/>
      <w:trPr>
        <w:hidden/>
      </w:trPr>
      <w:tcPr>
        <w:shd w:val="clear" w:color="DCF1F7" w:themeColor="accent5" w:themeTint="40" w:fill="DCF1F7" w:themeFill="accent5" w:themeFillTint="40"/>
      </w:tcPr>
    </w:tblStylePr>
    <w:tblStylePr w:type="band1Horz">
      <w:rPr>
        <w:rFonts w:ascii="Arial" w:hAnsi="Arial"/>
        <w:color w:val="ADDFED" w:themeColor="accent5" w:themeTint="9A" w:themeShade="95"/>
        <w:sz w:val="22"/>
      </w:rPr>
      <w:tblPr/>
      <w:trPr>
        <w:hidden/>
      </w:trPr>
      <w:tcPr>
        <w:shd w:val="clear" w:color="DCF1F7" w:themeColor="accent5" w:themeTint="40" w:fill="DCF1F7" w:themeFill="accent5" w:themeFillTint="40"/>
      </w:tcPr>
    </w:tblStylePr>
    <w:tblStylePr w:type="band2Horz">
      <w:rPr>
        <w:rFonts w:ascii="Arial" w:hAnsi="Arial"/>
        <w:color w:val="ADDFED"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DD8BA" w:themeColor="accent6" w:themeTint="98"/>
        <w:bottom w:val="single" w:sz="4" w:space="0" w:color="FDD8BA" w:themeColor="accent6" w:themeTint="98"/>
      </w:tblBorders>
      <w:tblCellMar>
        <w:top w:w="0" w:type="dxa"/>
        <w:left w:w="108" w:type="dxa"/>
        <w:bottom w:w="0" w:type="dxa"/>
        <w:right w:w="108" w:type="dxa"/>
      </w:tblCellMar>
    </w:tblPr>
    <w:trPr>
      <w:hidden/>
    </w:trPr>
    <w:tblStylePr w:type="firstRow">
      <w:rPr>
        <w:b/>
        <w:color w:val="FDD8BA" w:themeColor="accent6" w:themeTint="98" w:themeShade="95"/>
      </w:rPr>
      <w:tblPr/>
      <w:trPr>
        <w:hidden/>
      </w:trPr>
      <w:tcPr>
        <w:tcBorders>
          <w:bottom w:val="single" w:sz="4" w:space="0" w:color="FDD8BA" w:themeColor="accent6" w:themeTint="98"/>
        </w:tcBorders>
      </w:tcPr>
    </w:tblStylePr>
    <w:tblStylePr w:type="lastRow">
      <w:rPr>
        <w:b/>
        <w:color w:val="FDD8BA" w:themeColor="accent6" w:themeTint="98" w:themeShade="95"/>
      </w:rPr>
      <w:tblPr/>
      <w:trPr>
        <w:hidden/>
      </w:trPr>
      <w:tcPr>
        <w:tcBorders>
          <w:top w:val="single" w:sz="4" w:space="0" w:color="FDD8BA" w:themeColor="accent6" w:themeTint="98"/>
        </w:tcBorders>
      </w:tcPr>
    </w:tblStylePr>
    <w:tblStylePr w:type="firstCol">
      <w:rPr>
        <w:b/>
        <w:color w:val="FDD8BA" w:themeColor="accent6" w:themeTint="98" w:themeShade="95"/>
      </w:rPr>
    </w:tblStylePr>
    <w:tblStylePr w:type="lastCol">
      <w:rPr>
        <w:b/>
        <w:color w:val="FDD8BA" w:themeColor="accent6" w:themeTint="98" w:themeShade="95"/>
      </w:rPr>
    </w:tblStylePr>
    <w:tblStylePr w:type="band1Vert">
      <w:tblPr/>
      <w:trPr>
        <w:hidden/>
      </w:trPr>
      <w:tcPr>
        <w:shd w:val="clear" w:color="FEEEE2" w:themeColor="accent6" w:themeTint="40" w:fill="FEEEE2" w:themeFill="accent6" w:themeFillTint="40"/>
      </w:tcPr>
    </w:tblStylePr>
    <w:tblStylePr w:type="band1Horz">
      <w:rPr>
        <w:rFonts w:ascii="Arial" w:hAnsi="Arial"/>
        <w:color w:val="FDD8BA" w:themeColor="accent6" w:themeTint="98" w:themeShade="95"/>
        <w:sz w:val="22"/>
      </w:rPr>
      <w:tblPr/>
      <w:trPr>
        <w:hidden/>
      </w:trPr>
      <w:tcPr>
        <w:shd w:val="clear" w:color="FEEEE2" w:themeColor="accent6" w:themeTint="40" w:fill="FEEEE2" w:themeFill="accent6" w:themeFillTint="40"/>
      </w:tcPr>
    </w:tblStylePr>
    <w:tblStylePr w:type="band2Horz">
      <w:rPr>
        <w:rFonts w:ascii="Arial" w:hAnsi="Arial"/>
        <w:color w:val="FDD8BA"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rPr>
      <w:hidden/>
    </w:trPr>
    <w:tblStylePr w:type="firstRow">
      <w:rPr>
        <w:rFonts w:ascii="Arial" w:hAnsi="Arial"/>
        <w:i/>
        <w:color w:val="7F7F7F" w:themeColor="text1" w:themeTint="80" w:themeShade="95"/>
        <w:sz w:val="22"/>
      </w:rPr>
      <w:tblPr/>
      <w:trPr>
        <w:hidden/>
      </w:tr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rPr>
        <w:hidden/>
      </w:tr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rPr>
        <w:hidden/>
      </w:tr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rPr>
        <w:hidden/>
      </w:tr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rPr>
        <w:hidden/>
      </w:tr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rPr>
        <w:hidden/>
      </w:tr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7EAADF" w:themeColor="accent1"/>
      </w:tblBorders>
      <w:tblCellMar>
        <w:top w:w="0" w:type="dxa"/>
        <w:left w:w="108" w:type="dxa"/>
        <w:bottom w:w="0" w:type="dxa"/>
        <w:right w:w="108" w:type="dxa"/>
      </w:tblCellMar>
    </w:tblPr>
    <w:trPr>
      <w:hidden/>
    </w:trPr>
    <w:tblStylePr w:type="firstRow">
      <w:rPr>
        <w:rFonts w:ascii="Arial" w:hAnsi="Arial"/>
        <w:i/>
        <w:color w:val="285FA3" w:themeColor="accent1" w:themeShade="95"/>
        <w:sz w:val="22"/>
      </w:rPr>
      <w:tblPr/>
      <w:trPr>
        <w:hidden/>
      </w:trPr>
      <w:tcPr>
        <w:tcBorders>
          <w:top w:val="none" w:sz="4" w:space="0" w:color="000000"/>
          <w:left w:val="none" w:sz="4" w:space="0" w:color="000000"/>
          <w:bottom w:val="single" w:sz="4" w:space="0" w:color="7EAADF" w:themeColor="accent1"/>
          <w:right w:val="none" w:sz="4" w:space="0" w:color="000000"/>
        </w:tcBorders>
        <w:shd w:val="clear" w:color="FFFFFF" w:themeColor="light1" w:fill="FFFFFF" w:themeFill="light1"/>
      </w:tcPr>
    </w:tblStylePr>
    <w:tblStylePr w:type="lastRow">
      <w:rPr>
        <w:rFonts w:ascii="Arial" w:hAnsi="Arial"/>
        <w:i/>
        <w:color w:val="285FA3" w:themeColor="accent1" w:themeShade="95"/>
        <w:sz w:val="22"/>
      </w:rPr>
      <w:tblPr/>
      <w:trPr>
        <w:hidden/>
      </w:trPr>
      <w:tcPr>
        <w:tcBorders>
          <w:top w:val="single" w:sz="4" w:space="0" w:color="7EAADF"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85FA3" w:themeColor="accent1" w:themeShade="95"/>
        <w:sz w:val="22"/>
      </w:rPr>
      <w:tblPr/>
      <w:trPr>
        <w:hidden/>
      </w:trPr>
      <w:tcPr>
        <w:tcBorders>
          <w:top w:val="none" w:sz="4" w:space="0" w:color="000000"/>
          <w:left w:val="none" w:sz="4" w:space="0" w:color="000000"/>
          <w:bottom w:val="none" w:sz="4" w:space="0" w:color="000000"/>
          <w:right w:val="single" w:sz="4" w:space="0" w:color="7EAADF" w:themeColor="accent1"/>
        </w:tcBorders>
        <w:shd w:val="clear" w:color="FFFFFF" w:fill="auto"/>
      </w:tcPr>
    </w:tblStylePr>
    <w:tblStylePr w:type="lastCol">
      <w:rPr>
        <w:rFonts w:ascii="Arial" w:hAnsi="Arial"/>
        <w:i/>
        <w:color w:val="285FA3" w:themeColor="accent1" w:themeShade="95"/>
        <w:sz w:val="22"/>
      </w:rPr>
      <w:tblPr/>
      <w:trPr>
        <w:hidden/>
      </w:trPr>
      <w:tcPr>
        <w:tcBorders>
          <w:top w:val="none" w:sz="4" w:space="0" w:color="000000"/>
          <w:left w:val="single" w:sz="4" w:space="0" w:color="7EAADF" w:themeColor="accent1"/>
          <w:bottom w:val="none" w:sz="4" w:space="0" w:color="000000"/>
          <w:right w:val="none" w:sz="4" w:space="0" w:color="000000"/>
        </w:tcBorders>
        <w:shd w:val="clear" w:color="FFFFFF" w:fill="auto"/>
      </w:tcPr>
    </w:tblStylePr>
    <w:tblStylePr w:type="band1Vert">
      <w:tblPr/>
      <w:trPr>
        <w:hidden/>
      </w:trPr>
      <w:tcPr>
        <w:shd w:val="clear" w:color="DEE9F7" w:themeColor="accent1" w:themeTint="40" w:fill="DEE9F7" w:themeFill="accent1" w:themeFillTint="40"/>
      </w:tcPr>
    </w:tblStylePr>
    <w:tblStylePr w:type="band1Horz">
      <w:rPr>
        <w:rFonts w:ascii="Arial" w:hAnsi="Arial"/>
        <w:color w:val="285FA3" w:themeColor="accent1" w:themeShade="95"/>
        <w:sz w:val="22"/>
      </w:rPr>
      <w:tblPr/>
      <w:trPr>
        <w:hidden/>
      </w:trPr>
      <w:tcPr>
        <w:shd w:val="clear" w:color="DEE9F7" w:themeColor="accent1" w:themeTint="40" w:fill="DEE9F7" w:themeFill="accent1" w:themeFillTint="40"/>
      </w:tcPr>
    </w:tblStylePr>
    <w:tblStylePr w:type="band2Horz">
      <w:rPr>
        <w:rFonts w:ascii="Arial" w:hAnsi="Arial"/>
        <w:color w:val="285FA3"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F2ABA9" w:themeColor="accent2" w:themeTint="97"/>
      </w:tblBorders>
      <w:tblCellMar>
        <w:top w:w="0" w:type="dxa"/>
        <w:left w:w="108" w:type="dxa"/>
        <w:bottom w:w="0" w:type="dxa"/>
        <w:right w:w="108" w:type="dxa"/>
      </w:tblCellMar>
    </w:tblPr>
    <w:trPr>
      <w:hidden/>
    </w:trPr>
    <w:tblStylePr w:type="firstRow">
      <w:rPr>
        <w:rFonts w:ascii="Arial" w:hAnsi="Arial"/>
        <w:i/>
        <w:color w:val="F2ABA9" w:themeColor="accent2" w:themeTint="97" w:themeShade="95"/>
        <w:sz w:val="22"/>
      </w:rPr>
      <w:tblPr/>
      <w:trPr>
        <w:hidden/>
      </w:trPr>
      <w:tcPr>
        <w:tcBorders>
          <w:top w:val="none" w:sz="4" w:space="0" w:color="000000"/>
          <w:left w:val="none" w:sz="4" w:space="0" w:color="000000"/>
          <w:bottom w:val="single" w:sz="4" w:space="0" w:color="F2ABA9" w:themeColor="accent2" w:themeTint="97"/>
          <w:right w:val="none" w:sz="4" w:space="0" w:color="000000"/>
        </w:tcBorders>
        <w:shd w:val="clear" w:color="FFFFFF" w:themeColor="light1" w:fill="FFFFFF" w:themeFill="light1"/>
      </w:tcPr>
    </w:tblStylePr>
    <w:tblStylePr w:type="lastRow">
      <w:rPr>
        <w:rFonts w:ascii="Arial" w:hAnsi="Arial"/>
        <w:i/>
        <w:color w:val="F2ABA9" w:themeColor="accent2" w:themeTint="97" w:themeShade="95"/>
        <w:sz w:val="22"/>
      </w:rPr>
      <w:tblPr/>
      <w:trPr>
        <w:hidden/>
      </w:trPr>
      <w:tcPr>
        <w:tcBorders>
          <w:top w:val="single" w:sz="4" w:space="0" w:color="F2ABA9"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BA9" w:themeColor="accent2" w:themeTint="97" w:themeShade="95"/>
        <w:sz w:val="22"/>
      </w:rPr>
      <w:tblPr/>
      <w:trPr>
        <w:hidden/>
      </w:trPr>
      <w:tcPr>
        <w:tcBorders>
          <w:top w:val="none" w:sz="4" w:space="0" w:color="000000"/>
          <w:left w:val="none" w:sz="4" w:space="0" w:color="000000"/>
          <w:bottom w:val="none" w:sz="4" w:space="0" w:color="000000"/>
          <w:right w:val="single" w:sz="4" w:space="0" w:color="F2ABA9" w:themeColor="accent2" w:themeTint="97"/>
        </w:tcBorders>
        <w:shd w:val="clear" w:color="FFFFFF" w:fill="auto"/>
      </w:tcPr>
    </w:tblStylePr>
    <w:tblStylePr w:type="lastCol">
      <w:rPr>
        <w:rFonts w:ascii="Arial" w:hAnsi="Arial"/>
        <w:i/>
        <w:color w:val="F2ABA9" w:themeColor="accent2" w:themeTint="97" w:themeShade="95"/>
        <w:sz w:val="22"/>
      </w:rPr>
      <w:tblPr/>
      <w:trPr>
        <w:hidden/>
      </w:trPr>
      <w:tcPr>
        <w:tcBorders>
          <w:top w:val="none" w:sz="4" w:space="0" w:color="000000"/>
          <w:left w:val="single" w:sz="4" w:space="0" w:color="F2ABA9" w:themeColor="accent2" w:themeTint="97"/>
          <w:bottom w:val="none" w:sz="4" w:space="0" w:color="000000"/>
          <w:right w:val="none" w:sz="4" w:space="0" w:color="000000"/>
        </w:tcBorders>
        <w:shd w:val="clear" w:color="FFFFFF" w:fill="auto"/>
      </w:tcPr>
    </w:tblStylePr>
    <w:tblStylePr w:type="band1Vert">
      <w:tblPr/>
      <w:trPr>
        <w:hidden/>
      </w:trPr>
      <w:tcPr>
        <w:shd w:val="clear" w:color="F9DBDA" w:themeColor="accent2" w:themeTint="40" w:fill="F9DBDA" w:themeFill="accent2" w:themeFillTint="40"/>
      </w:tcPr>
    </w:tblStylePr>
    <w:tblStylePr w:type="band1Horz">
      <w:rPr>
        <w:rFonts w:ascii="Arial" w:hAnsi="Arial"/>
        <w:color w:val="F2ABA9" w:themeColor="accent2" w:themeTint="97" w:themeShade="95"/>
        <w:sz w:val="22"/>
      </w:rPr>
      <w:tblPr/>
      <w:trPr>
        <w:hidden/>
      </w:trPr>
      <w:tcPr>
        <w:shd w:val="clear" w:color="F9DBDA" w:themeColor="accent2" w:themeTint="40" w:fill="F9DBDA" w:themeFill="accent2" w:themeFillTint="40"/>
      </w:tcPr>
    </w:tblStylePr>
    <w:tblStylePr w:type="band2Horz">
      <w:rPr>
        <w:rFonts w:ascii="Arial" w:hAnsi="Arial"/>
        <w:color w:val="F2ABA9"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BE7AB" w:themeColor="accent3" w:themeTint="98"/>
      </w:tblBorders>
      <w:tblCellMar>
        <w:top w:w="0" w:type="dxa"/>
        <w:left w:w="108" w:type="dxa"/>
        <w:bottom w:w="0" w:type="dxa"/>
        <w:right w:w="108" w:type="dxa"/>
      </w:tblCellMar>
    </w:tblPr>
    <w:trPr>
      <w:hidden/>
    </w:trPr>
    <w:tblStylePr w:type="firstRow">
      <w:rPr>
        <w:rFonts w:ascii="Arial" w:hAnsi="Arial"/>
        <w:i/>
        <w:color w:val="CBE7AB" w:themeColor="accent3" w:themeTint="98" w:themeShade="95"/>
        <w:sz w:val="22"/>
      </w:rPr>
      <w:tblPr/>
      <w:trPr>
        <w:hidden/>
      </w:trPr>
      <w:tcPr>
        <w:tcBorders>
          <w:top w:val="none" w:sz="4" w:space="0" w:color="000000"/>
          <w:left w:val="none" w:sz="4" w:space="0" w:color="000000"/>
          <w:bottom w:val="single" w:sz="4" w:space="0" w:color="CBE7AB" w:themeColor="accent3" w:themeTint="98"/>
          <w:right w:val="none" w:sz="4" w:space="0" w:color="000000"/>
        </w:tcBorders>
        <w:shd w:val="clear" w:color="FFFFFF" w:themeColor="light1" w:fill="FFFFFF" w:themeFill="light1"/>
      </w:tcPr>
    </w:tblStylePr>
    <w:tblStylePr w:type="lastRow">
      <w:rPr>
        <w:rFonts w:ascii="Arial" w:hAnsi="Arial"/>
        <w:i/>
        <w:color w:val="CBE7AB" w:themeColor="accent3" w:themeTint="98" w:themeShade="95"/>
        <w:sz w:val="22"/>
      </w:rPr>
      <w:tblPr/>
      <w:trPr>
        <w:hidden/>
      </w:trPr>
      <w:tcPr>
        <w:tcBorders>
          <w:top w:val="single" w:sz="4" w:space="0" w:color="CBE7A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BE7AB" w:themeColor="accent3" w:themeTint="98" w:themeShade="95"/>
        <w:sz w:val="22"/>
      </w:rPr>
      <w:tblPr/>
      <w:trPr>
        <w:hidden/>
      </w:trPr>
      <w:tcPr>
        <w:tcBorders>
          <w:top w:val="none" w:sz="4" w:space="0" w:color="000000"/>
          <w:left w:val="none" w:sz="4" w:space="0" w:color="000000"/>
          <w:bottom w:val="none" w:sz="4" w:space="0" w:color="000000"/>
          <w:right w:val="single" w:sz="4" w:space="0" w:color="CBE7AB" w:themeColor="accent3" w:themeTint="98"/>
        </w:tcBorders>
        <w:shd w:val="clear" w:color="FFFFFF" w:fill="auto"/>
      </w:tcPr>
    </w:tblStylePr>
    <w:tblStylePr w:type="lastCol">
      <w:rPr>
        <w:rFonts w:ascii="Arial" w:hAnsi="Arial"/>
        <w:i/>
        <w:color w:val="CBE7AB" w:themeColor="accent3" w:themeTint="98" w:themeShade="95"/>
        <w:sz w:val="22"/>
      </w:rPr>
      <w:tblPr/>
      <w:trPr>
        <w:hidden/>
      </w:trPr>
      <w:tcPr>
        <w:tcBorders>
          <w:top w:val="none" w:sz="4" w:space="0" w:color="000000"/>
          <w:left w:val="single" w:sz="4" w:space="0" w:color="CBE7AB" w:themeColor="accent3" w:themeTint="98"/>
          <w:bottom w:val="none" w:sz="4" w:space="0" w:color="000000"/>
          <w:right w:val="none" w:sz="4" w:space="0" w:color="000000"/>
        </w:tcBorders>
        <w:shd w:val="clear" w:color="FFFFFF" w:fill="auto"/>
      </w:tcPr>
    </w:tblStylePr>
    <w:tblStylePr w:type="band1Vert">
      <w:tblPr/>
      <w:trPr>
        <w:hidden/>
      </w:trPr>
      <w:tcPr>
        <w:shd w:val="clear" w:color="E9F5DC" w:themeColor="accent3" w:themeTint="40" w:fill="E9F5DC" w:themeFill="accent3" w:themeFillTint="40"/>
      </w:tcPr>
    </w:tblStylePr>
    <w:tblStylePr w:type="band1Horz">
      <w:rPr>
        <w:rFonts w:ascii="Arial" w:hAnsi="Arial"/>
        <w:color w:val="CBE7AB" w:themeColor="accent3" w:themeTint="98" w:themeShade="95"/>
        <w:sz w:val="22"/>
      </w:rPr>
      <w:tblPr/>
      <w:trPr>
        <w:hidden/>
      </w:trPr>
      <w:tcPr>
        <w:shd w:val="clear" w:color="E9F5DC" w:themeColor="accent3" w:themeTint="40" w:fill="E9F5DC" w:themeFill="accent3" w:themeFillTint="40"/>
      </w:tcPr>
    </w:tblStylePr>
    <w:tblStylePr w:type="band2Horz">
      <w:rPr>
        <w:rFonts w:ascii="Arial" w:hAnsi="Arial"/>
        <w:color w:val="CBE7A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C9B8DE" w:themeColor="accent4" w:themeTint="9A"/>
      </w:tblBorders>
      <w:tblCellMar>
        <w:top w:w="0" w:type="dxa"/>
        <w:left w:w="108" w:type="dxa"/>
        <w:bottom w:w="0" w:type="dxa"/>
        <w:right w:w="108" w:type="dxa"/>
      </w:tblCellMar>
    </w:tblPr>
    <w:trPr>
      <w:hidden/>
    </w:trPr>
    <w:tblStylePr w:type="firstRow">
      <w:rPr>
        <w:rFonts w:ascii="Arial" w:hAnsi="Arial"/>
        <w:i/>
        <w:color w:val="C9B8DE" w:themeColor="accent4" w:themeTint="9A" w:themeShade="95"/>
        <w:sz w:val="22"/>
      </w:rPr>
      <w:tblPr/>
      <w:trPr>
        <w:hidden/>
      </w:trPr>
      <w:tcPr>
        <w:tcBorders>
          <w:top w:val="none" w:sz="4" w:space="0" w:color="000000"/>
          <w:left w:val="none" w:sz="4" w:space="0" w:color="000000"/>
          <w:bottom w:val="single" w:sz="4" w:space="0" w:color="C9B8DE" w:themeColor="accent4" w:themeTint="9A"/>
          <w:right w:val="none" w:sz="4" w:space="0" w:color="000000"/>
        </w:tcBorders>
        <w:shd w:val="clear" w:color="FFFFFF" w:themeColor="light1" w:fill="FFFFFF" w:themeFill="light1"/>
      </w:tcPr>
    </w:tblStylePr>
    <w:tblStylePr w:type="lastRow">
      <w:rPr>
        <w:rFonts w:ascii="Arial" w:hAnsi="Arial"/>
        <w:i/>
        <w:color w:val="C9B8DE" w:themeColor="accent4" w:themeTint="9A" w:themeShade="95"/>
        <w:sz w:val="22"/>
      </w:rPr>
      <w:tblPr/>
      <w:trPr>
        <w:hidden/>
      </w:trPr>
      <w:tcPr>
        <w:tcBorders>
          <w:top w:val="single" w:sz="4" w:space="0" w:color="C9B8DE"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B8DE" w:themeColor="accent4" w:themeTint="9A" w:themeShade="95"/>
        <w:sz w:val="22"/>
      </w:rPr>
      <w:tblPr/>
      <w:trPr>
        <w:hidden/>
      </w:trPr>
      <w:tcPr>
        <w:tcBorders>
          <w:top w:val="none" w:sz="4" w:space="0" w:color="000000"/>
          <w:left w:val="none" w:sz="4" w:space="0" w:color="000000"/>
          <w:bottom w:val="none" w:sz="4" w:space="0" w:color="000000"/>
          <w:right w:val="single" w:sz="4" w:space="0" w:color="C9B8DE" w:themeColor="accent4" w:themeTint="9A"/>
        </w:tcBorders>
        <w:shd w:val="clear" w:color="FFFFFF" w:fill="auto"/>
      </w:tcPr>
    </w:tblStylePr>
    <w:tblStylePr w:type="lastCol">
      <w:rPr>
        <w:rFonts w:ascii="Arial" w:hAnsi="Arial"/>
        <w:i/>
        <w:color w:val="C9B8DE" w:themeColor="accent4" w:themeTint="9A" w:themeShade="95"/>
        <w:sz w:val="22"/>
      </w:rPr>
      <w:tblPr/>
      <w:trPr>
        <w:hidden/>
      </w:trPr>
      <w:tcPr>
        <w:tcBorders>
          <w:top w:val="none" w:sz="4" w:space="0" w:color="000000"/>
          <w:left w:val="single" w:sz="4" w:space="0" w:color="C9B8DE" w:themeColor="accent4" w:themeTint="9A"/>
          <w:bottom w:val="none" w:sz="4" w:space="0" w:color="000000"/>
          <w:right w:val="none" w:sz="4" w:space="0" w:color="000000"/>
        </w:tcBorders>
        <w:shd w:val="clear" w:color="FFFFFF" w:fill="auto"/>
      </w:tcPr>
    </w:tblStylePr>
    <w:tblStylePr w:type="band1Vert">
      <w:tblPr/>
      <w:trPr>
        <w:hidden/>
      </w:trPr>
      <w:tcPr>
        <w:shd w:val="clear" w:color="E8E1F1" w:themeColor="accent4" w:themeTint="40" w:fill="E8E1F1" w:themeFill="accent4" w:themeFillTint="40"/>
      </w:tcPr>
    </w:tblStylePr>
    <w:tblStylePr w:type="band1Horz">
      <w:rPr>
        <w:rFonts w:ascii="Arial" w:hAnsi="Arial"/>
        <w:color w:val="C9B8DE" w:themeColor="accent4" w:themeTint="9A" w:themeShade="95"/>
        <w:sz w:val="22"/>
      </w:rPr>
      <w:tblPr/>
      <w:trPr>
        <w:hidden/>
      </w:trPr>
      <w:tcPr>
        <w:shd w:val="clear" w:color="E8E1F1" w:themeColor="accent4" w:themeTint="40" w:fill="E8E1F1" w:themeFill="accent4" w:themeFillTint="40"/>
      </w:tcPr>
    </w:tblStylePr>
    <w:tblStylePr w:type="band2Horz">
      <w:rPr>
        <w:rFonts w:ascii="Arial" w:hAnsi="Arial"/>
        <w:color w:val="C9B8DE"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ADDFED" w:themeColor="accent5" w:themeTint="9A"/>
      </w:tblBorders>
      <w:tblCellMar>
        <w:top w:w="0" w:type="dxa"/>
        <w:left w:w="108" w:type="dxa"/>
        <w:bottom w:w="0" w:type="dxa"/>
        <w:right w:w="108" w:type="dxa"/>
      </w:tblCellMar>
    </w:tblPr>
    <w:trPr>
      <w:hidden/>
    </w:trPr>
    <w:tblStylePr w:type="firstRow">
      <w:rPr>
        <w:rFonts w:ascii="Arial" w:hAnsi="Arial"/>
        <w:i/>
        <w:color w:val="ADDFED" w:themeColor="accent5" w:themeTint="9A" w:themeShade="95"/>
        <w:sz w:val="22"/>
      </w:rPr>
      <w:tblPr/>
      <w:trPr>
        <w:hidden/>
      </w:trPr>
      <w:tcPr>
        <w:tcBorders>
          <w:top w:val="none" w:sz="4" w:space="0" w:color="000000"/>
          <w:left w:val="none" w:sz="4" w:space="0" w:color="000000"/>
          <w:bottom w:val="single" w:sz="4" w:space="0" w:color="ADDFED" w:themeColor="accent5" w:themeTint="9A"/>
          <w:right w:val="none" w:sz="4" w:space="0" w:color="000000"/>
        </w:tcBorders>
        <w:shd w:val="clear" w:color="FFFFFF" w:themeColor="light1" w:fill="FFFFFF" w:themeFill="light1"/>
      </w:tcPr>
    </w:tblStylePr>
    <w:tblStylePr w:type="lastRow">
      <w:rPr>
        <w:rFonts w:ascii="Arial" w:hAnsi="Arial"/>
        <w:i/>
        <w:color w:val="ADDFED" w:themeColor="accent5" w:themeTint="9A" w:themeShade="95"/>
        <w:sz w:val="22"/>
      </w:rPr>
      <w:tblPr/>
      <w:trPr>
        <w:hidden/>
      </w:trPr>
      <w:tcPr>
        <w:tcBorders>
          <w:top w:val="single" w:sz="4" w:space="0" w:color="ADDFED"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DDFED" w:themeColor="accent5" w:themeTint="9A" w:themeShade="95"/>
        <w:sz w:val="22"/>
      </w:rPr>
      <w:tblPr/>
      <w:trPr>
        <w:hidden/>
      </w:trPr>
      <w:tcPr>
        <w:tcBorders>
          <w:top w:val="none" w:sz="4" w:space="0" w:color="000000"/>
          <w:left w:val="none" w:sz="4" w:space="0" w:color="000000"/>
          <w:bottom w:val="none" w:sz="4" w:space="0" w:color="000000"/>
          <w:right w:val="single" w:sz="4" w:space="0" w:color="ADDFED" w:themeColor="accent5" w:themeTint="9A"/>
        </w:tcBorders>
        <w:shd w:val="clear" w:color="FFFFFF" w:fill="auto"/>
      </w:tcPr>
    </w:tblStylePr>
    <w:tblStylePr w:type="lastCol">
      <w:rPr>
        <w:rFonts w:ascii="Arial" w:hAnsi="Arial"/>
        <w:i/>
        <w:color w:val="ADDFED" w:themeColor="accent5" w:themeTint="9A" w:themeShade="95"/>
        <w:sz w:val="22"/>
      </w:rPr>
      <w:tblPr/>
      <w:trPr>
        <w:hidden/>
      </w:trPr>
      <w:tcPr>
        <w:tcBorders>
          <w:top w:val="none" w:sz="4" w:space="0" w:color="000000"/>
          <w:left w:val="single" w:sz="4" w:space="0" w:color="ADDFED" w:themeColor="accent5" w:themeTint="9A"/>
          <w:bottom w:val="none" w:sz="4" w:space="0" w:color="000000"/>
          <w:right w:val="none" w:sz="4" w:space="0" w:color="000000"/>
        </w:tcBorders>
        <w:shd w:val="clear" w:color="FFFFFF" w:fill="auto"/>
      </w:tcPr>
    </w:tblStylePr>
    <w:tblStylePr w:type="band1Vert">
      <w:tblPr/>
      <w:trPr>
        <w:hidden/>
      </w:trPr>
      <w:tcPr>
        <w:shd w:val="clear" w:color="DCF1F7" w:themeColor="accent5" w:themeTint="40" w:fill="DCF1F7" w:themeFill="accent5" w:themeFillTint="40"/>
      </w:tcPr>
    </w:tblStylePr>
    <w:tblStylePr w:type="band1Horz">
      <w:rPr>
        <w:rFonts w:ascii="Arial" w:hAnsi="Arial"/>
        <w:color w:val="ADDFED" w:themeColor="accent5" w:themeTint="9A" w:themeShade="95"/>
        <w:sz w:val="22"/>
      </w:rPr>
      <w:tblPr/>
      <w:trPr>
        <w:hidden/>
      </w:trPr>
      <w:tcPr>
        <w:shd w:val="clear" w:color="DCF1F7" w:themeColor="accent5" w:themeTint="40" w:fill="DCF1F7" w:themeFill="accent5" w:themeFillTint="40"/>
      </w:tcPr>
    </w:tblStylePr>
    <w:tblStylePr w:type="band2Horz">
      <w:rPr>
        <w:rFonts w:ascii="Arial" w:hAnsi="Arial"/>
        <w:color w:val="ADDFED"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DD8BA" w:themeColor="accent6" w:themeTint="98"/>
      </w:tblBorders>
      <w:tblCellMar>
        <w:top w:w="0" w:type="dxa"/>
        <w:left w:w="108" w:type="dxa"/>
        <w:bottom w:w="0" w:type="dxa"/>
        <w:right w:w="108" w:type="dxa"/>
      </w:tblCellMar>
    </w:tblPr>
    <w:trPr>
      <w:hidden/>
    </w:trPr>
    <w:tblStylePr w:type="firstRow">
      <w:rPr>
        <w:rFonts w:ascii="Arial" w:hAnsi="Arial"/>
        <w:i/>
        <w:color w:val="FDD8BA" w:themeColor="accent6" w:themeTint="98" w:themeShade="95"/>
        <w:sz w:val="22"/>
      </w:rPr>
      <w:tblPr/>
      <w:trPr>
        <w:hidden/>
      </w:trPr>
      <w:tcPr>
        <w:tcBorders>
          <w:top w:val="none" w:sz="4" w:space="0" w:color="000000"/>
          <w:left w:val="none" w:sz="4" w:space="0" w:color="000000"/>
          <w:bottom w:val="single" w:sz="4" w:space="0" w:color="FDD8BA" w:themeColor="accent6" w:themeTint="98"/>
          <w:right w:val="none" w:sz="4" w:space="0" w:color="000000"/>
        </w:tcBorders>
        <w:shd w:val="clear" w:color="FFFFFF" w:themeColor="light1" w:fill="FFFFFF" w:themeFill="light1"/>
      </w:tcPr>
    </w:tblStylePr>
    <w:tblStylePr w:type="lastRow">
      <w:rPr>
        <w:rFonts w:ascii="Arial" w:hAnsi="Arial"/>
        <w:i/>
        <w:color w:val="FDD8BA" w:themeColor="accent6" w:themeTint="98" w:themeShade="95"/>
        <w:sz w:val="22"/>
      </w:rPr>
      <w:tblPr/>
      <w:trPr>
        <w:hidden/>
      </w:trPr>
      <w:tcPr>
        <w:tcBorders>
          <w:top w:val="single" w:sz="4" w:space="0" w:color="FDD8BA"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DD8BA" w:themeColor="accent6" w:themeTint="98" w:themeShade="95"/>
        <w:sz w:val="22"/>
      </w:rPr>
      <w:tblPr/>
      <w:trPr>
        <w:hidden/>
      </w:trPr>
      <w:tcPr>
        <w:tcBorders>
          <w:top w:val="none" w:sz="4" w:space="0" w:color="000000"/>
          <w:left w:val="none" w:sz="4" w:space="0" w:color="000000"/>
          <w:bottom w:val="none" w:sz="4" w:space="0" w:color="000000"/>
          <w:right w:val="single" w:sz="4" w:space="0" w:color="FDD8BA" w:themeColor="accent6" w:themeTint="98"/>
        </w:tcBorders>
        <w:shd w:val="clear" w:color="FFFFFF" w:fill="auto"/>
      </w:tcPr>
    </w:tblStylePr>
    <w:tblStylePr w:type="lastCol">
      <w:rPr>
        <w:rFonts w:ascii="Arial" w:hAnsi="Arial"/>
        <w:i/>
        <w:color w:val="FDD8BA" w:themeColor="accent6" w:themeTint="98" w:themeShade="95"/>
        <w:sz w:val="22"/>
      </w:rPr>
      <w:tblPr/>
      <w:trPr>
        <w:hidden/>
      </w:trPr>
      <w:tcPr>
        <w:tcBorders>
          <w:top w:val="none" w:sz="4" w:space="0" w:color="000000"/>
          <w:left w:val="single" w:sz="4" w:space="0" w:color="FDD8BA" w:themeColor="accent6" w:themeTint="98"/>
          <w:bottom w:val="none" w:sz="4" w:space="0" w:color="000000"/>
          <w:right w:val="none" w:sz="4" w:space="0" w:color="000000"/>
        </w:tcBorders>
        <w:shd w:val="clear" w:color="FFFFFF" w:fill="auto"/>
      </w:tcPr>
    </w:tblStylePr>
    <w:tblStylePr w:type="band1Vert">
      <w:tblPr/>
      <w:trPr>
        <w:hidden/>
      </w:trPr>
      <w:tcPr>
        <w:shd w:val="clear" w:color="FEEEE2" w:themeColor="accent6" w:themeTint="40" w:fill="FEEEE2" w:themeFill="accent6" w:themeFillTint="40"/>
      </w:tcPr>
    </w:tblStylePr>
    <w:tblStylePr w:type="band1Horz">
      <w:rPr>
        <w:rFonts w:ascii="Arial" w:hAnsi="Arial"/>
        <w:color w:val="FDD8BA" w:themeColor="accent6" w:themeTint="98" w:themeShade="95"/>
        <w:sz w:val="22"/>
      </w:rPr>
      <w:tblPr/>
      <w:trPr>
        <w:hidden/>
      </w:trPr>
      <w:tcPr>
        <w:shd w:val="clear" w:color="FEEEE2" w:themeColor="accent6" w:themeTint="40" w:fill="FEEEE2" w:themeFill="accent6" w:themeFillTint="40"/>
      </w:tcPr>
    </w:tblStylePr>
    <w:tblStylePr w:type="band2Horz">
      <w:rPr>
        <w:rFonts w:ascii="Arial" w:hAnsi="Arial"/>
        <w:color w:val="FDD8BA"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7F7F7F" w:themeColor="text1" w:themeTint="80" w:fill="7F7F7F" w:themeFill="text1" w:themeFillTint="80"/>
      </w:tcPr>
    </w:tblStylePr>
    <w:tblStylePr w:type="lastRow">
      <w:rPr>
        <w:rFonts w:ascii="Arial" w:hAnsi="Arial"/>
        <w:color w:val="F2F2F2"/>
        <w:sz w:val="22"/>
      </w:rPr>
      <w:tblPr/>
      <w:trPr>
        <w:hidden/>
      </w:trPr>
      <w:tcPr>
        <w:shd w:val="clear" w:color="7F7F7F" w:themeColor="text1" w:themeTint="80" w:fill="7F7F7F" w:themeFill="text1" w:themeFillTint="80"/>
      </w:tcPr>
    </w:tblStylePr>
    <w:tblStylePr w:type="firstCol">
      <w:rPr>
        <w:rFonts w:ascii="Arial" w:hAnsi="Arial"/>
        <w:color w:val="F2F2F2"/>
        <w:sz w:val="22"/>
      </w:rPr>
      <w:tblPr/>
      <w:trPr>
        <w:hidden/>
      </w:trPr>
      <w:tcPr>
        <w:shd w:val="clear" w:color="7F7F7F" w:themeColor="text1" w:themeTint="80" w:fill="7F7F7F" w:themeFill="text1" w:themeFillTint="80"/>
      </w:tcPr>
    </w:tblStylePr>
    <w:tblStylePr w:type="lastCol">
      <w:rPr>
        <w:rFonts w:ascii="Arial" w:hAnsi="Arial"/>
        <w:color w:val="F2F2F2"/>
        <w:sz w:val="22"/>
      </w:rPr>
      <w:tblPr/>
      <w:trPr>
        <w:hidden/>
      </w:t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88B0E1" w:themeColor="accent1" w:themeTint="EA" w:fill="88B0E1" w:themeFill="accent1" w:themeFillTint="EA"/>
      </w:tcPr>
    </w:tblStylePr>
    <w:tblStylePr w:type="lastRow">
      <w:rPr>
        <w:rFonts w:ascii="Arial" w:hAnsi="Arial"/>
        <w:color w:val="F2F2F2"/>
        <w:sz w:val="22"/>
      </w:rPr>
      <w:tblPr/>
      <w:trPr>
        <w:hidden/>
      </w:trPr>
      <w:tcPr>
        <w:shd w:val="clear" w:color="88B0E1" w:themeColor="accent1" w:themeTint="EA" w:fill="88B0E1" w:themeFill="accent1" w:themeFillTint="EA"/>
      </w:tcPr>
    </w:tblStylePr>
    <w:tblStylePr w:type="firstCol">
      <w:rPr>
        <w:rFonts w:ascii="Arial" w:hAnsi="Arial"/>
        <w:color w:val="F2F2F2"/>
        <w:sz w:val="22"/>
      </w:rPr>
      <w:tblPr/>
      <w:trPr>
        <w:hidden/>
      </w:trPr>
      <w:tcPr>
        <w:shd w:val="clear" w:color="88B0E1" w:themeColor="accent1" w:themeTint="EA" w:fill="88B0E1" w:themeFill="accent1" w:themeFillTint="EA"/>
      </w:tcPr>
    </w:tblStylePr>
    <w:tblStylePr w:type="lastCol">
      <w:rPr>
        <w:rFonts w:ascii="Arial" w:hAnsi="Arial"/>
        <w:color w:val="F2F2F2"/>
        <w:sz w:val="22"/>
      </w:rPr>
      <w:tblPr/>
      <w:trPr>
        <w:hidden/>
      </w:trPr>
      <w:tcPr>
        <w:shd w:val="clear" w:color="88B0E1" w:themeColor="accent1" w:themeTint="EA" w:fill="88B0E1" w:themeFill="accent1" w:themeFillTint="EA"/>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D6E4F5" w:themeColor="accent1" w:themeTint="50" w:fill="D6E4F5" w:themeFill="accent1" w:themeFillTint="50"/>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D6E4F5" w:themeColor="accent1" w:themeTint="50" w:fill="D6E4F5"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F2ABA9" w:themeColor="accent2" w:themeTint="97" w:fill="F2ABA9" w:themeFill="accent2" w:themeFillTint="97"/>
      </w:tcPr>
    </w:tblStylePr>
    <w:tblStylePr w:type="lastRow">
      <w:rPr>
        <w:rFonts w:ascii="Arial" w:hAnsi="Arial"/>
        <w:color w:val="F2F2F2"/>
        <w:sz w:val="22"/>
      </w:rPr>
      <w:tblPr/>
      <w:trPr>
        <w:hidden/>
      </w:trPr>
      <w:tcPr>
        <w:shd w:val="clear" w:color="F2ABA9" w:themeColor="accent2" w:themeTint="97" w:fill="F2ABA9" w:themeFill="accent2" w:themeFillTint="97"/>
      </w:tcPr>
    </w:tblStylePr>
    <w:tblStylePr w:type="firstCol">
      <w:rPr>
        <w:rFonts w:ascii="Arial" w:hAnsi="Arial"/>
        <w:color w:val="F2F2F2"/>
        <w:sz w:val="22"/>
      </w:rPr>
      <w:tblPr/>
      <w:trPr>
        <w:hidden/>
      </w:trPr>
      <w:tcPr>
        <w:shd w:val="clear" w:color="F2ABA9" w:themeColor="accent2" w:themeTint="97" w:fill="F2ABA9" w:themeFill="accent2" w:themeFillTint="97"/>
      </w:tcPr>
    </w:tblStylePr>
    <w:tblStylePr w:type="lastCol">
      <w:rPr>
        <w:rFonts w:ascii="Arial" w:hAnsi="Arial"/>
        <w:color w:val="F2F2F2"/>
        <w:sz w:val="22"/>
      </w:rPr>
      <w:tblPr/>
      <w:trPr>
        <w:hidden/>
      </w:trPr>
      <w:tcPr>
        <w:shd w:val="clear" w:color="F2ABA9" w:themeColor="accent2" w:themeTint="97" w:fill="F2ABA9" w:themeFill="accent2" w:themeFillTint="97"/>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BE2E2" w:themeColor="accent2" w:themeTint="32" w:fill="FBE2E2" w:themeFill="accent2" w:themeFillTint="32"/>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BE2E2" w:themeColor="accent2" w:themeTint="32" w:fill="FBE2E2"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A9D774" w:themeColor="accent3" w:themeTint="FE" w:fill="A9D774" w:themeFill="accent3" w:themeFillTint="FE"/>
      </w:tcPr>
    </w:tblStylePr>
    <w:tblStylePr w:type="lastRow">
      <w:rPr>
        <w:rFonts w:ascii="Arial" w:hAnsi="Arial"/>
        <w:color w:val="F2F2F2"/>
        <w:sz w:val="22"/>
      </w:rPr>
      <w:tblPr/>
      <w:trPr>
        <w:hidden/>
      </w:trPr>
      <w:tcPr>
        <w:shd w:val="clear" w:color="A9D774" w:themeColor="accent3" w:themeTint="FE" w:fill="A9D774" w:themeFill="accent3" w:themeFillTint="FE"/>
      </w:tcPr>
    </w:tblStylePr>
    <w:tblStylePr w:type="firstCol">
      <w:rPr>
        <w:rFonts w:ascii="Arial" w:hAnsi="Arial"/>
        <w:color w:val="F2F2F2"/>
        <w:sz w:val="22"/>
      </w:rPr>
      <w:tblPr/>
      <w:trPr>
        <w:hidden/>
      </w:trPr>
      <w:tcPr>
        <w:shd w:val="clear" w:color="A9D774" w:themeColor="accent3" w:themeTint="FE" w:fill="A9D774" w:themeFill="accent3" w:themeFillTint="FE"/>
      </w:tcPr>
    </w:tblStylePr>
    <w:tblStylePr w:type="lastCol">
      <w:rPr>
        <w:rFonts w:ascii="Arial" w:hAnsi="Arial"/>
        <w:color w:val="F2F2F2"/>
        <w:sz w:val="22"/>
      </w:rPr>
      <w:tblPr/>
      <w:trPr>
        <w:hidden/>
      </w:trPr>
      <w:tcPr>
        <w:shd w:val="clear" w:color="A9D774" w:themeColor="accent3" w:themeTint="FE" w:fill="A9D774" w:themeFill="accent3" w:themeFillTint="FE"/>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DF6E2" w:themeColor="accent3" w:themeTint="34" w:fill="EDF6E2" w:themeFill="accent3"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DF6E2" w:themeColor="accent3" w:themeTint="34" w:fill="EDF6E2"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C9B8DE" w:themeColor="accent4" w:themeTint="9A" w:fill="C9B8DE" w:themeFill="accent4" w:themeFillTint="9A"/>
      </w:tcPr>
    </w:tblStylePr>
    <w:tblStylePr w:type="lastRow">
      <w:rPr>
        <w:rFonts w:ascii="Arial" w:hAnsi="Arial"/>
        <w:color w:val="F2F2F2"/>
        <w:sz w:val="22"/>
      </w:rPr>
      <w:tblPr/>
      <w:trPr>
        <w:hidden/>
      </w:trPr>
      <w:tcPr>
        <w:shd w:val="clear" w:color="C9B8DE" w:themeColor="accent4" w:themeTint="9A" w:fill="C9B8DE" w:themeFill="accent4" w:themeFillTint="9A"/>
      </w:tcPr>
    </w:tblStylePr>
    <w:tblStylePr w:type="firstCol">
      <w:rPr>
        <w:rFonts w:ascii="Arial" w:hAnsi="Arial"/>
        <w:color w:val="F2F2F2"/>
        <w:sz w:val="22"/>
      </w:rPr>
      <w:tblPr/>
      <w:trPr>
        <w:hidden/>
      </w:trPr>
      <w:tcPr>
        <w:shd w:val="clear" w:color="C9B8DE" w:themeColor="accent4" w:themeTint="9A" w:fill="C9B8DE" w:themeFill="accent4" w:themeFillTint="9A"/>
      </w:tcPr>
    </w:tblStylePr>
    <w:tblStylePr w:type="lastCol">
      <w:rPr>
        <w:rFonts w:ascii="Arial" w:hAnsi="Arial"/>
        <w:color w:val="F2F2F2"/>
        <w:sz w:val="22"/>
      </w:rPr>
      <w:tblPr/>
      <w:trPr>
        <w:hidden/>
      </w:trPr>
      <w:tcPr>
        <w:shd w:val="clear" w:color="C9B8DE" w:themeColor="accent4" w:themeTint="9A" w:fill="C9B8DE" w:themeFill="accent4" w:themeFillTint="9A"/>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DE7F4" w:themeColor="accent4" w:themeTint="34" w:fill="EDE7F4" w:themeFill="accent4"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DE7F4" w:themeColor="accent4" w:themeTint="34" w:fill="EDE7F4"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78CBE1" w:themeColor="accent5" w:fill="78CBE1" w:themeFill="accent5"/>
      </w:tcPr>
    </w:tblStylePr>
    <w:tblStylePr w:type="lastRow">
      <w:rPr>
        <w:rFonts w:ascii="Arial" w:hAnsi="Arial"/>
        <w:color w:val="F2F2F2"/>
        <w:sz w:val="22"/>
      </w:rPr>
      <w:tblPr/>
      <w:trPr>
        <w:hidden/>
      </w:trPr>
      <w:tcPr>
        <w:shd w:val="clear" w:color="78CBE1" w:themeColor="accent5" w:fill="78CBE1" w:themeFill="accent5"/>
      </w:tcPr>
    </w:tblStylePr>
    <w:tblStylePr w:type="firstCol">
      <w:rPr>
        <w:rFonts w:ascii="Arial" w:hAnsi="Arial"/>
        <w:color w:val="F2F2F2"/>
        <w:sz w:val="22"/>
      </w:rPr>
      <w:tblPr/>
      <w:trPr>
        <w:hidden/>
      </w:trPr>
      <w:tcPr>
        <w:shd w:val="clear" w:color="78CBE1" w:themeColor="accent5" w:fill="78CBE1" w:themeFill="accent5"/>
      </w:tcPr>
    </w:tblStylePr>
    <w:tblStylePr w:type="lastCol">
      <w:rPr>
        <w:rFonts w:ascii="Arial" w:hAnsi="Arial"/>
        <w:color w:val="F2F2F2"/>
        <w:sz w:val="22"/>
      </w:rPr>
      <w:tblPr/>
      <w:trPr>
        <w:hidden/>
      </w:trPr>
      <w:tcPr>
        <w:shd w:val="clear" w:color="78CBE1" w:themeColor="accent5" w:fill="78CBE1" w:themeFill="accent5"/>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3F4F9" w:themeColor="accent5" w:themeTint="34" w:fill="E3F4F9" w:themeFill="accent5"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3F4F9" w:themeColor="accent5" w:themeTint="34" w:fill="E3F4F9"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Ind w:w="0" w:type="dxa"/>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FCBF8C" w:themeColor="accent6" w:fill="FCBF8C" w:themeFill="accent6"/>
      </w:tcPr>
    </w:tblStylePr>
    <w:tblStylePr w:type="lastRow">
      <w:rPr>
        <w:rFonts w:ascii="Arial" w:hAnsi="Arial"/>
        <w:color w:val="F2F2F2"/>
        <w:sz w:val="22"/>
      </w:rPr>
      <w:tblPr/>
      <w:trPr>
        <w:hidden/>
      </w:trPr>
      <w:tcPr>
        <w:shd w:val="clear" w:color="FCBF8C" w:themeColor="accent6" w:fill="FCBF8C" w:themeFill="accent6"/>
      </w:tcPr>
    </w:tblStylePr>
    <w:tblStylePr w:type="firstCol">
      <w:rPr>
        <w:rFonts w:ascii="Arial" w:hAnsi="Arial"/>
        <w:color w:val="F2F2F2"/>
        <w:sz w:val="22"/>
      </w:rPr>
      <w:tblPr/>
      <w:trPr>
        <w:hidden/>
      </w:trPr>
      <w:tcPr>
        <w:shd w:val="clear" w:color="FCBF8C" w:themeColor="accent6" w:fill="FCBF8C" w:themeFill="accent6"/>
      </w:tcPr>
    </w:tblStylePr>
    <w:tblStylePr w:type="lastCol">
      <w:rPr>
        <w:rFonts w:ascii="Arial" w:hAnsi="Arial"/>
        <w:color w:val="F2F2F2"/>
        <w:sz w:val="22"/>
      </w:rPr>
      <w:tblPr/>
      <w:trPr>
        <w:hidden/>
      </w:trPr>
      <w:tcPr>
        <w:shd w:val="clear" w:color="FCBF8C" w:themeColor="accent6" w:fill="FCBF8C" w:themeFill="accent6"/>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EF1E7" w:themeColor="accent6" w:themeTint="34" w:fill="FEF1E7" w:themeFill="accent6"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EF1E7" w:themeColor="accent6" w:themeTint="34" w:fill="FEF1E7"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7F7F7F" w:themeColor="text1" w:themeTint="80" w:fill="7F7F7F" w:themeFill="text1" w:themeFillTint="80"/>
      </w:tcPr>
    </w:tblStylePr>
    <w:tblStylePr w:type="lastRow">
      <w:rPr>
        <w:rFonts w:ascii="Arial" w:hAnsi="Arial"/>
        <w:color w:val="F2F2F2"/>
        <w:sz w:val="22"/>
      </w:rPr>
      <w:tblPr/>
      <w:trPr>
        <w:hidden/>
      </w:trPr>
      <w:tcPr>
        <w:shd w:val="clear" w:color="7F7F7F" w:themeColor="text1" w:themeTint="80" w:fill="7F7F7F" w:themeFill="text1" w:themeFillTint="80"/>
      </w:tcPr>
    </w:tblStylePr>
    <w:tblStylePr w:type="firstCol">
      <w:rPr>
        <w:rFonts w:ascii="Arial" w:hAnsi="Arial"/>
        <w:color w:val="F2F2F2"/>
        <w:sz w:val="22"/>
      </w:rPr>
      <w:tblPr/>
      <w:trPr>
        <w:hidden/>
      </w:trPr>
      <w:tcPr>
        <w:shd w:val="clear" w:color="7F7F7F" w:themeColor="text1" w:themeTint="80" w:fill="7F7F7F" w:themeFill="text1" w:themeFillTint="80"/>
      </w:tcPr>
    </w:tblStylePr>
    <w:tblStylePr w:type="lastCol">
      <w:rPr>
        <w:rFonts w:ascii="Arial" w:hAnsi="Arial"/>
        <w:color w:val="F2F2F2"/>
        <w:sz w:val="22"/>
      </w:rPr>
      <w:tblPr/>
      <w:trPr>
        <w:hidden/>
      </w:tr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Ind w:w="0" w:type="dxa"/>
      <w:tblBorders>
        <w:top w:val="single" w:sz="4" w:space="0" w:color="285FA3" w:themeColor="accent1" w:themeShade="95"/>
        <w:left w:val="single" w:sz="4" w:space="0" w:color="285FA3" w:themeColor="accent1" w:themeShade="95"/>
        <w:bottom w:val="single" w:sz="4" w:space="0" w:color="285FA3" w:themeColor="accent1" w:themeShade="95"/>
        <w:right w:val="single" w:sz="4" w:space="0" w:color="285FA3" w:themeColor="accent1" w:themeShade="95"/>
        <w:insideH w:val="single" w:sz="4" w:space="0" w:color="285FA3" w:themeColor="accent1" w:themeShade="95"/>
        <w:insideV w:val="single" w:sz="4" w:space="0" w:color="285FA3" w:themeColor="accent1"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88B0E1" w:themeColor="accent1" w:themeTint="EA" w:fill="88B0E1" w:themeFill="accent1" w:themeFillTint="EA"/>
      </w:tcPr>
    </w:tblStylePr>
    <w:tblStylePr w:type="lastRow">
      <w:rPr>
        <w:rFonts w:ascii="Arial" w:hAnsi="Arial"/>
        <w:color w:val="F2F2F2"/>
        <w:sz w:val="22"/>
      </w:rPr>
      <w:tblPr/>
      <w:trPr>
        <w:hidden/>
      </w:trPr>
      <w:tcPr>
        <w:shd w:val="clear" w:color="88B0E1" w:themeColor="accent1" w:themeTint="EA" w:fill="88B0E1" w:themeFill="accent1" w:themeFillTint="EA"/>
      </w:tcPr>
    </w:tblStylePr>
    <w:tblStylePr w:type="firstCol">
      <w:rPr>
        <w:rFonts w:ascii="Arial" w:hAnsi="Arial"/>
        <w:color w:val="F2F2F2"/>
        <w:sz w:val="22"/>
      </w:rPr>
      <w:tblPr/>
      <w:trPr>
        <w:hidden/>
      </w:trPr>
      <w:tcPr>
        <w:shd w:val="clear" w:color="88B0E1" w:themeColor="accent1" w:themeTint="EA" w:fill="88B0E1" w:themeFill="accent1" w:themeFillTint="EA"/>
      </w:tcPr>
    </w:tblStylePr>
    <w:tblStylePr w:type="lastCol">
      <w:rPr>
        <w:rFonts w:ascii="Arial" w:hAnsi="Arial"/>
        <w:color w:val="F2F2F2"/>
        <w:sz w:val="22"/>
      </w:rPr>
      <w:tblPr/>
      <w:trPr>
        <w:hidden/>
      </w:trPr>
      <w:tcPr>
        <w:shd w:val="clear" w:color="88B0E1" w:themeColor="accent1" w:themeTint="EA" w:fill="88B0E1" w:themeFill="accent1" w:themeFillTint="EA"/>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D6E4F5" w:themeColor="accent1" w:themeTint="50" w:fill="D6E4F5" w:themeFill="accent1" w:themeFillTint="50"/>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D6E4F5" w:themeColor="accent1" w:themeTint="50" w:fill="D6E4F5"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Ind w:w="0" w:type="dxa"/>
      <w:tblBorders>
        <w:top w:val="single" w:sz="4" w:space="0" w:color="AF1D19" w:themeColor="accent2" w:themeShade="95"/>
        <w:left w:val="single" w:sz="4" w:space="0" w:color="AF1D19" w:themeColor="accent2" w:themeShade="95"/>
        <w:bottom w:val="single" w:sz="4" w:space="0" w:color="AF1D19" w:themeColor="accent2" w:themeShade="95"/>
        <w:right w:val="single" w:sz="4" w:space="0" w:color="AF1D19" w:themeColor="accent2" w:themeShade="95"/>
        <w:insideH w:val="single" w:sz="4" w:space="0" w:color="AF1D19" w:themeColor="accent2" w:themeShade="95"/>
        <w:insideV w:val="single" w:sz="4" w:space="0" w:color="AF1D19" w:themeColor="accent2"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F2ABA9" w:themeColor="accent2" w:themeTint="97" w:fill="F2ABA9" w:themeFill="accent2" w:themeFillTint="97"/>
      </w:tcPr>
    </w:tblStylePr>
    <w:tblStylePr w:type="lastRow">
      <w:rPr>
        <w:rFonts w:ascii="Arial" w:hAnsi="Arial"/>
        <w:color w:val="F2F2F2"/>
        <w:sz w:val="22"/>
      </w:rPr>
      <w:tblPr/>
      <w:trPr>
        <w:hidden/>
      </w:trPr>
      <w:tcPr>
        <w:shd w:val="clear" w:color="F2ABA9" w:themeColor="accent2" w:themeTint="97" w:fill="F2ABA9" w:themeFill="accent2" w:themeFillTint="97"/>
      </w:tcPr>
    </w:tblStylePr>
    <w:tblStylePr w:type="firstCol">
      <w:rPr>
        <w:rFonts w:ascii="Arial" w:hAnsi="Arial"/>
        <w:color w:val="F2F2F2"/>
        <w:sz w:val="22"/>
      </w:rPr>
      <w:tblPr/>
      <w:trPr>
        <w:hidden/>
      </w:trPr>
      <w:tcPr>
        <w:shd w:val="clear" w:color="F2ABA9" w:themeColor="accent2" w:themeTint="97" w:fill="F2ABA9" w:themeFill="accent2" w:themeFillTint="97"/>
      </w:tcPr>
    </w:tblStylePr>
    <w:tblStylePr w:type="lastCol">
      <w:rPr>
        <w:rFonts w:ascii="Arial" w:hAnsi="Arial"/>
        <w:color w:val="F2F2F2"/>
        <w:sz w:val="22"/>
      </w:rPr>
      <w:tblPr/>
      <w:trPr>
        <w:hidden/>
      </w:trPr>
      <w:tcPr>
        <w:shd w:val="clear" w:color="F2ABA9" w:themeColor="accent2" w:themeTint="97" w:fill="F2ABA9" w:themeFill="accent2" w:themeFillTint="97"/>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BE2E2" w:themeColor="accent2" w:themeTint="32" w:fill="FBE2E2" w:themeFill="accent2" w:themeFillTint="32"/>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BE2E2" w:themeColor="accent2" w:themeTint="32" w:fill="FBE2E2"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Ind w:w="0" w:type="dxa"/>
      <w:tblBorders>
        <w:top w:val="single" w:sz="4" w:space="0" w:color="64962B" w:themeColor="accent3" w:themeShade="95"/>
        <w:left w:val="single" w:sz="4" w:space="0" w:color="64962B" w:themeColor="accent3" w:themeShade="95"/>
        <w:bottom w:val="single" w:sz="4" w:space="0" w:color="64962B" w:themeColor="accent3" w:themeShade="95"/>
        <w:right w:val="single" w:sz="4" w:space="0" w:color="64962B" w:themeColor="accent3" w:themeShade="95"/>
        <w:insideH w:val="single" w:sz="4" w:space="0" w:color="64962B" w:themeColor="accent3" w:themeShade="95"/>
        <w:insideV w:val="single" w:sz="4" w:space="0" w:color="64962B" w:themeColor="accent3"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A9D774" w:themeColor="accent3" w:themeTint="FE" w:fill="A9D774" w:themeFill="accent3" w:themeFillTint="FE"/>
      </w:tcPr>
    </w:tblStylePr>
    <w:tblStylePr w:type="lastRow">
      <w:rPr>
        <w:rFonts w:ascii="Arial" w:hAnsi="Arial"/>
        <w:color w:val="F2F2F2"/>
        <w:sz w:val="22"/>
      </w:rPr>
      <w:tblPr/>
      <w:trPr>
        <w:hidden/>
      </w:trPr>
      <w:tcPr>
        <w:shd w:val="clear" w:color="A9D774" w:themeColor="accent3" w:themeTint="FE" w:fill="A9D774" w:themeFill="accent3" w:themeFillTint="FE"/>
      </w:tcPr>
    </w:tblStylePr>
    <w:tblStylePr w:type="firstCol">
      <w:rPr>
        <w:rFonts w:ascii="Arial" w:hAnsi="Arial"/>
        <w:color w:val="F2F2F2"/>
        <w:sz w:val="22"/>
      </w:rPr>
      <w:tblPr/>
      <w:trPr>
        <w:hidden/>
      </w:trPr>
      <w:tcPr>
        <w:shd w:val="clear" w:color="A9D774" w:themeColor="accent3" w:themeTint="FE" w:fill="A9D774" w:themeFill="accent3" w:themeFillTint="FE"/>
      </w:tcPr>
    </w:tblStylePr>
    <w:tblStylePr w:type="lastCol">
      <w:rPr>
        <w:rFonts w:ascii="Arial" w:hAnsi="Arial"/>
        <w:color w:val="F2F2F2"/>
        <w:sz w:val="22"/>
      </w:rPr>
      <w:tblPr/>
      <w:trPr>
        <w:hidden/>
      </w:trPr>
      <w:tcPr>
        <w:shd w:val="clear" w:color="A9D774" w:themeColor="accent3" w:themeTint="FE" w:fill="A9D774" w:themeFill="accent3" w:themeFillTint="FE"/>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DF6E2" w:themeColor="accent3" w:themeTint="34" w:fill="EDF6E2" w:themeFill="accent3"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DF6E2" w:themeColor="accent3" w:themeTint="34" w:fill="EDF6E2"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Ind w:w="0" w:type="dxa"/>
      <w:tblBorders>
        <w:top w:val="single" w:sz="4" w:space="0" w:color="5F3F87" w:themeColor="accent4" w:themeShade="95"/>
        <w:left w:val="single" w:sz="4" w:space="0" w:color="5F3F87" w:themeColor="accent4" w:themeShade="95"/>
        <w:bottom w:val="single" w:sz="4" w:space="0" w:color="5F3F87" w:themeColor="accent4" w:themeShade="95"/>
        <w:right w:val="single" w:sz="4" w:space="0" w:color="5F3F87" w:themeColor="accent4" w:themeShade="95"/>
        <w:insideH w:val="single" w:sz="4" w:space="0" w:color="5F3F87" w:themeColor="accent4" w:themeShade="95"/>
        <w:insideV w:val="single" w:sz="4" w:space="0" w:color="5F3F87" w:themeColor="accent4"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C9B8DE" w:themeColor="accent4" w:themeTint="9A" w:fill="C9B8DE" w:themeFill="accent4" w:themeFillTint="9A"/>
      </w:tcPr>
    </w:tblStylePr>
    <w:tblStylePr w:type="lastRow">
      <w:rPr>
        <w:rFonts w:ascii="Arial" w:hAnsi="Arial"/>
        <w:color w:val="F2F2F2"/>
        <w:sz w:val="22"/>
      </w:rPr>
      <w:tblPr/>
      <w:trPr>
        <w:hidden/>
      </w:trPr>
      <w:tcPr>
        <w:shd w:val="clear" w:color="C9B8DE" w:themeColor="accent4" w:themeTint="9A" w:fill="C9B8DE" w:themeFill="accent4" w:themeFillTint="9A"/>
      </w:tcPr>
    </w:tblStylePr>
    <w:tblStylePr w:type="firstCol">
      <w:rPr>
        <w:rFonts w:ascii="Arial" w:hAnsi="Arial"/>
        <w:color w:val="F2F2F2"/>
        <w:sz w:val="22"/>
      </w:rPr>
      <w:tblPr/>
      <w:trPr>
        <w:hidden/>
      </w:trPr>
      <w:tcPr>
        <w:shd w:val="clear" w:color="C9B8DE" w:themeColor="accent4" w:themeTint="9A" w:fill="C9B8DE" w:themeFill="accent4" w:themeFillTint="9A"/>
      </w:tcPr>
    </w:tblStylePr>
    <w:tblStylePr w:type="lastCol">
      <w:rPr>
        <w:rFonts w:ascii="Arial" w:hAnsi="Arial"/>
        <w:color w:val="F2F2F2"/>
        <w:sz w:val="22"/>
      </w:rPr>
      <w:tblPr/>
      <w:trPr>
        <w:hidden/>
      </w:trPr>
      <w:tcPr>
        <w:shd w:val="clear" w:color="C9B8DE" w:themeColor="accent4" w:themeTint="9A" w:fill="C9B8DE" w:themeFill="accent4" w:themeFillTint="9A"/>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DE7F4" w:themeColor="accent4" w:themeTint="34" w:fill="EDE7F4" w:themeFill="accent4"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DE7F4" w:themeColor="accent4" w:themeTint="34" w:fill="EDE7F4"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Ind w:w="0" w:type="dxa"/>
      <w:tblBorders>
        <w:top w:val="single" w:sz="4" w:space="0" w:color="2489A4" w:themeColor="accent5" w:themeShade="95"/>
        <w:left w:val="single" w:sz="4" w:space="0" w:color="2489A4" w:themeColor="accent5" w:themeShade="95"/>
        <w:bottom w:val="single" w:sz="4" w:space="0" w:color="2489A4" w:themeColor="accent5" w:themeShade="95"/>
        <w:right w:val="single" w:sz="4" w:space="0" w:color="2489A4" w:themeColor="accent5" w:themeShade="95"/>
        <w:insideH w:val="single" w:sz="4" w:space="0" w:color="2489A4" w:themeColor="accent5" w:themeShade="95"/>
        <w:insideV w:val="single" w:sz="4" w:space="0" w:color="2489A4" w:themeColor="accent5"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78CBE1" w:themeColor="accent5" w:fill="78CBE1" w:themeFill="accent5"/>
      </w:tcPr>
    </w:tblStylePr>
    <w:tblStylePr w:type="lastRow">
      <w:rPr>
        <w:rFonts w:ascii="Arial" w:hAnsi="Arial"/>
        <w:color w:val="F2F2F2"/>
        <w:sz w:val="22"/>
      </w:rPr>
      <w:tblPr/>
      <w:trPr>
        <w:hidden/>
      </w:trPr>
      <w:tcPr>
        <w:shd w:val="clear" w:color="78CBE1" w:themeColor="accent5" w:fill="78CBE1" w:themeFill="accent5"/>
      </w:tcPr>
    </w:tblStylePr>
    <w:tblStylePr w:type="firstCol">
      <w:rPr>
        <w:rFonts w:ascii="Arial" w:hAnsi="Arial"/>
        <w:color w:val="F2F2F2"/>
        <w:sz w:val="22"/>
      </w:rPr>
      <w:tblPr/>
      <w:trPr>
        <w:hidden/>
      </w:trPr>
      <w:tcPr>
        <w:shd w:val="clear" w:color="78CBE1" w:themeColor="accent5" w:fill="78CBE1" w:themeFill="accent5"/>
      </w:tcPr>
    </w:tblStylePr>
    <w:tblStylePr w:type="lastCol">
      <w:rPr>
        <w:rFonts w:ascii="Arial" w:hAnsi="Arial"/>
        <w:color w:val="F2F2F2"/>
        <w:sz w:val="22"/>
      </w:rPr>
      <w:tblPr/>
      <w:trPr>
        <w:hidden/>
      </w:trPr>
      <w:tcPr>
        <w:shd w:val="clear" w:color="78CBE1" w:themeColor="accent5" w:fill="78CBE1" w:themeFill="accent5"/>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E3F4F9" w:themeColor="accent5" w:themeTint="34" w:fill="E3F4F9" w:themeFill="accent5"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E3F4F9" w:themeColor="accent5" w:themeTint="34" w:fill="E3F4F9"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Ind w:w="0" w:type="dxa"/>
      <w:tblBorders>
        <w:top w:val="single" w:sz="4" w:space="0" w:color="DF6806" w:themeColor="accent6" w:themeShade="95"/>
        <w:left w:val="single" w:sz="4" w:space="0" w:color="DF6806" w:themeColor="accent6" w:themeShade="95"/>
        <w:bottom w:val="single" w:sz="4" w:space="0" w:color="DF6806" w:themeColor="accent6" w:themeShade="95"/>
        <w:right w:val="single" w:sz="4" w:space="0" w:color="DF6806" w:themeColor="accent6" w:themeShade="95"/>
        <w:insideH w:val="single" w:sz="4" w:space="0" w:color="DF6806" w:themeColor="accent6" w:themeShade="95"/>
        <w:insideV w:val="single" w:sz="4" w:space="0" w:color="DF6806" w:themeColor="accent6" w:themeShade="95"/>
      </w:tblBorders>
      <w:tblCellMar>
        <w:top w:w="0" w:type="dxa"/>
        <w:left w:w="108" w:type="dxa"/>
        <w:bottom w:w="0" w:type="dxa"/>
        <w:right w:w="108" w:type="dxa"/>
      </w:tblCellMar>
    </w:tblPr>
    <w:trPr>
      <w:hidden/>
    </w:trPr>
    <w:tblStylePr w:type="firstRow">
      <w:rPr>
        <w:rFonts w:ascii="Arial" w:hAnsi="Arial"/>
        <w:color w:val="F2F2F2"/>
        <w:sz w:val="22"/>
      </w:rPr>
      <w:tblPr/>
      <w:trPr>
        <w:hidden/>
      </w:trPr>
      <w:tcPr>
        <w:shd w:val="clear" w:color="FCBF8C" w:themeColor="accent6" w:fill="FCBF8C" w:themeFill="accent6"/>
      </w:tcPr>
    </w:tblStylePr>
    <w:tblStylePr w:type="lastRow">
      <w:rPr>
        <w:rFonts w:ascii="Arial" w:hAnsi="Arial"/>
        <w:color w:val="F2F2F2"/>
        <w:sz w:val="22"/>
      </w:rPr>
      <w:tblPr/>
      <w:trPr>
        <w:hidden/>
      </w:trPr>
      <w:tcPr>
        <w:shd w:val="clear" w:color="FCBF8C" w:themeColor="accent6" w:fill="FCBF8C" w:themeFill="accent6"/>
      </w:tcPr>
    </w:tblStylePr>
    <w:tblStylePr w:type="firstCol">
      <w:rPr>
        <w:rFonts w:ascii="Arial" w:hAnsi="Arial"/>
        <w:color w:val="F2F2F2"/>
        <w:sz w:val="22"/>
      </w:rPr>
      <w:tblPr/>
      <w:trPr>
        <w:hidden/>
      </w:trPr>
      <w:tcPr>
        <w:shd w:val="clear" w:color="FCBF8C" w:themeColor="accent6" w:fill="FCBF8C" w:themeFill="accent6"/>
      </w:tcPr>
    </w:tblStylePr>
    <w:tblStylePr w:type="lastCol">
      <w:rPr>
        <w:rFonts w:ascii="Arial" w:hAnsi="Arial"/>
        <w:color w:val="F2F2F2"/>
        <w:sz w:val="22"/>
      </w:rPr>
      <w:tblPr/>
      <w:trPr>
        <w:hidden/>
      </w:trPr>
      <w:tcPr>
        <w:shd w:val="clear" w:color="FCBF8C" w:themeColor="accent6" w:fill="FCBF8C" w:themeFill="accent6"/>
      </w:tcPr>
    </w:tblStylePr>
    <w:tblStylePr w:type="band1Vert">
      <w:rPr>
        <w:rFonts w:ascii="Arial" w:hAnsi="Arial"/>
        <w:color w:val="404040"/>
        <w:sz w:val="22"/>
      </w:rPr>
    </w:tblStylePr>
    <w:tblStylePr w:type="band2Vert">
      <w:rPr>
        <w:rFonts w:ascii="Arial" w:hAnsi="Arial"/>
        <w:color w:val="404040"/>
        <w:sz w:val="22"/>
      </w:rPr>
      <w:tblPr/>
      <w:trPr>
        <w:hidden/>
      </w:trPr>
      <w:tcPr>
        <w:shd w:val="clear" w:color="FEF1E7" w:themeColor="accent6" w:themeTint="34" w:fill="FEF1E7" w:themeFill="accent6" w:themeFillTint="34"/>
      </w:tcPr>
    </w:tblStylePr>
    <w:tblStylePr w:type="band1Horz">
      <w:rPr>
        <w:rFonts w:ascii="Arial" w:hAnsi="Arial"/>
        <w:color w:val="404040"/>
        <w:sz w:val="22"/>
      </w:rPr>
    </w:tblStylePr>
    <w:tblStylePr w:type="band2Horz">
      <w:rPr>
        <w:rFonts w:ascii="Arial" w:hAnsi="Arial"/>
        <w:color w:val="404040"/>
        <w:sz w:val="22"/>
      </w:rPr>
      <w:tblPr/>
      <w:trPr>
        <w:hidden/>
      </w:trPr>
      <w:tcPr>
        <w:shd w:val="clear" w:color="FEF1E7" w:themeColor="accent6" w:themeTint="34" w:fill="FEF1E7"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7F7F7F" w:themeColor="text1" w:themeTint="80"/>
        </w:tcBorders>
      </w:tcPr>
    </w:tblStylePr>
    <w:tblStylePr w:type="lastRow">
      <w:rPr>
        <w:rFonts w:ascii="Arial" w:hAnsi="Arial"/>
        <w:color w:val="404040"/>
        <w:sz w:val="22"/>
      </w:rPr>
      <w:tblPr/>
      <w:trPr>
        <w:hidden/>
      </w:tr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7F7F7F" w:themeColor="text1" w:themeTint="80"/>
        </w:tcBorders>
      </w:tcPr>
    </w:tblStylePr>
    <w:tblStylePr w:type="band1Horz">
      <w:rPr>
        <w:rFonts w:ascii="Arial" w:hAnsi="Arial"/>
        <w:color w:val="404040"/>
        <w:sz w:val="22"/>
      </w:rPr>
      <w:tblPr/>
      <w:trPr>
        <w:hidden/>
      </w:t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insideH w:val="single" w:sz="4" w:space="0" w:color="CADCF2" w:themeColor="accent1" w:themeTint="67"/>
        <w:insideV w:val="single" w:sz="4" w:space="0" w:color="CADCF2" w:themeColor="accent1"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7EAADF" w:themeColor="accent1"/>
        </w:tcBorders>
      </w:tcPr>
    </w:tblStylePr>
    <w:tblStylePr w:type="lastRow">
      <w:rPr>
        <w:rFonts w:ascii="Arial" w:hAnsi="Arial"/>
        <w:color w:val="404040"/>
        <w:sz w:val="22"/>
      </w:rPr>
      <w:tblPr/>
      <w:trPr>
        <w:hidden/>
      </w:trPr>
      <w:tcPr>
        <w:tcBorders>
          <w:top w:val="single" w:sz="12" w:space="0" w:color="7EAADF" w:themeColor="accent1"/>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7EAADF" w:themeColor="accent1"/>
        </w:tcBorders>
      </w:tcPr>
    </w:tblStylePr>
    <w:tblStylePr w:type="band1Horz">
      <w:rPr>
        <w:rFonts w:ascii="Arial" w:hAnsi="Arial"/>
        <w:color w:val="404040"/>
        <w:sz w:val="22"/>
      </w:rPr>
      <w:tblPr/>
      <w:trPr>
        <w:hidden/>
      </w:trPr>
      <w:tcPr>
        <w:tc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insideH w:val="single" w:sz="4" w:space="0" w:color="F6C5C4" w:themeColor="accent2" w:themeTint="67"/>
        <w:insideV w:val="single" w:sz="4" w:space="0" w:color="F6C5C4" w:themeColor="accent2"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F2ABA9" w:themeColor="accent2" w:themeTint="97"/>
        </w:tcBorders>
      </w:tcPr>
    </w:tblStylePr>
    <w:tblStylePr w:type="lastRow">
      <w:rPr>
        <w:rFonts w:ascii="Arial" w:hAnsi="Arial"/>
        <w:color w:val="404040"/>
        <w:sz w:val="22"/>
      </w:rPr>
      <w:tblPr/>
      <w:trPr>
        <w:hidden/>
      </w:trPr>
      <w:tcPr>
        <w:tcBorders>
          <w:top w:val="single" w:sz="12" w:space="0" w:color="F2ABA9" w:themeColor="accent2" w:themeTint="97"/>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F2ABA9" w:themeColor="accent2" w:themeTint="97"/>
        </w:tcBorders>
      </w:tcPr>
    </w:tblStylePr>
    <w:tblStylePr w:type="band1Horz">
      <w:rPr>
        <w:rFonts w:ascii="Arial" w:hAnsi="Arial"/>
        <w:color w:val="404040"/>
        <w:sz w:val="22"/>
      </w:rPr>
      <w:tblPr/>
      <w:trPr>
        <w:hidden/>
      </w:trPr>
      <w:tcPr>
        <w:tc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insideH w:val="single" w:sz="4" w:space="0" w:color="DCEEC6" w:themeColor="accent3" w:themeTint="67"/>
        <w:insideV w:val="single" w:sz="4" w:space="0" w:color="DCEEC6" w:themeColor="accent3"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CBE7AB" w:themeColor="accent3" w:themeTint="98"/>
        </w:tcBorders>
      </w:tcPr>
    </w:tblStylePr>
    <w:tblStylePr w:type="lastRow">
      <w:rPr>
        <w:rFonts w:ascii="Arial" w:hAnsi="Arial"/>
        <w:color w:val="404040"/>
        <w:sz w:val="22"/>
      </w:rPr>
      <w:tblPr/>
      <w:trPr>
        <w:hidden/>
      </w:trPr>
      <w:tcPr>
        <w:tcBorders>
          <w:top w:val="single" w:sz="12" w:space="0" w:color="CBE7AB" w:themeColor="accent3" w:themeTint="98"/>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CBE7AB" w:themeColor="accent3" w:themeTint="98"/>
        </w:tcBorders>
      </w:tcPr>
    </w:tblStylePr>
    <w:tblStylePr w:type="band1Horz">
      <w:rPr>
        <w:rFonts w:ascii="Arial" w:hAnsi="Arial"/>
        <w:color w:val="404040"/>
        <w:sz w:val="22"/>
      </w:rPr>
      <w:tblPr/>
      <w:trPr>
        <w:hidden/>
      </w:trPr>
      <w:tcPr>
        <w:tc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insideH w:val="single" w:sz="4" w:space="0" w:color="DBD0E9" w:themeColor="accent4" w:themeTint="67"/>
        <w:insideV w:val="single" w:sz="4" w:space="0" w:color="DBD0E9" w:themeColor="accent4"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C9B8DE" w:themeColor="accent4" w:themeTint="9A"/>
        </w:tcBorders>
      </w:tcPr>
    </w:tblStylePr>
    <w:tblStylePr w:type="lastRow">
      <w:rPr>
        <w:rFonts w:ascii="Arial" w:hAnsi="Arial"/>
        <w:color w:val="404040"/>
        <w:sz w:val="22"/>
      </w:rPr>
      <w:tblPr/>
      <w:trPr>
        <w:hidden/>
      </w:trPr>
      <w:tcPr>
        <w:tcBorders>
          <w:top w:val="single" w:sz="12" w:space="0" w:color="C9B8DE" w:themeColor="accent4" w:themeTint="9A"/>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C9B8DE" w:themeColor="accent4" w:themeTint="9A"/>
        </w:tcBorders>
      </w:tcPr>
    </w:tblStylePr>
    <w:tblStylePr w:type="band1Horz">
      <w:rPr>
        <w:rFonts w:ascii="Arial" w:hAnsi="Arial"/>
        <w:color w:val="404040"/>
        <w:sz w:val="22"/>
      </w:rPr>
      <w:tblPr/>
      <w:trPr>
        <w:hidden/>
      </w:trPr>
      <w:tcPr>
        <w:tc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insideH w:val="single" w:sz="4" w:space="0" w:color="C8E9F3" w:themeColor="accent5" w:themeTint="67"/>
        <w:insideV w:val="single" w:sz="4" w:space="0" w:color="C8E9F3" w:themeColor="accent5"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ADDFED" w:themeColor="accent5" w:themeTint="9A"/>
        </w:tcBorders>
      </w:tcPr>
    </w:tblStylePr>
    <w:tblStylePr w:type="lastRow">
      <w:rPr>
        <w:rFonts w:ascii="Arial" w:hAnsi="Arial"/>
        <w:color w:val="404040"/>
        <w:sz w:val="22"/>
      </w:rPr>
      <w:tblPr/>
      <w:trPr>
        <w:hidden/>
      </w:trPr>
      <w:tcPr>
        <w:tcBorders>
          <w:top w:val="single" w:sz="12" w:space="0" w:color="ADDFED" w:themeColor="accent5" w:themeTint="9A"/>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ADDFED" w:themeColor="accent5" w:themeTint="9A"/>
        </w:tcBorders>
      </w:tcPr>
    </w:tblStylePr>
    <w:tblStylePr w:type="band1Horz">
      <w:rPr>
        <w:rFonts w:ascii="Arial" w:hAnsi="Arial"/>
        <w:color w:val="404040"/>
        <w:sz w:val="22"/>
      </w:rPr>
      <w:tblPr/>
      <w:trPr>
        <w:hidden/>
      </w:trPr>
      <w:tcPr>
        <w:tc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insideH w:val="single" w:sz="4" w:space="0" w:color="FDE5D0" w:themeColor="accent6" w:themeTint="67"/>
        <w:insideV w:val="single" w:sz="4" w:space="0" w:color="FDE5D0" w:themeColor="accent6" w:themeTint="67"/>
      </w:tblBorders>
      <w:tblCellMar>
        <w:top w:w="0" w:type="dxa"/>
        <w:left w:w="108" w:type="dxa"/>
        <w:bottom w:w="0" w:type="dxa"/>
        <w:right w:w="108" w:type="dxa"/>
      </w:tblCellMar>
    </w:tblPr>
    <w:trPr>
      <w:hidden/>
    </w:trPr>
    <w:tblStylePr w:type="firstRow">
      <w:rPr>
        <w:rFonts w:ascii="Arial" w:hAnsi="Arial"/>
        <w:color w:val="404040"/>
        <w:sz w:val="22"/>
      </w:rPr>
      <w:tblPr/>
      <w:trPr>
        <w:hidden/>
      </w:trPr>
      <w:tcPr>
        <w:tcBorders>
          <w:bottom w:val="single" w:sz="12" w:space="0" w:color="FDD8BA" w:themeColor="accent6" w:themeTint="98"/>
        </w:tcBorders>
      </w:tcPr>
    </w:tblStylePr>
    <w:tblStylePr w:type="lastRow">
      <w:rPr>
        <w:rFonts w:ascii="Arial" w:hAnsi="Arial"/>
        <w:color w:val="404040"/>
        <w:sz w:val="22"/>
      </w:rPr>
      <w:tblPr/>
      <w:trPr>
        <w:hidden/>
      </w:trPr>
      <w:tcPr>
        <w:tcBorders>
          <w:top w:val="single" w:sz="12" w:space="0" w:color="FDD8BA" w:themeColor="accent6" w:themeTint="98"/>
        </w:tcBorders>
      </w:tcPr>
    </w:tblStylePr>
    <w:tblStylePr w:type="firstCol">
      <w:rPr>
        <w:rFonts w:ascii="Arial" w:hAnsi="Arial"/>
        <w:color w:val="404040"/>
        <w:sz w:val="22"/>
      </w:rPr>
    </w:tblStylePr>
    <w:tblStylePr w:type="lastCol">
      <w:rPr>
        <w:rFonts w:ascii="Arial" w:hAnsi="Arial"/>
        <w:color w:val="404040"/>
        <w:sz w:val="22"/>
      </w:rPr>
      <w:tblPr/>
      <w:trPr>
        <w:hidden/>
      </w:trPr>
      <w:tcPr>
        <w:tcBorders>
          <w:left w:val="single" w:sz="12" w:space="0" w:color="FDD8BA" w:themeColor="accent6" w:themeTint="98"/>
        </w:tcBorders>
      </w:tcPr>
    </w:tblStylePr>
    <w:tblStylePr w:type="band1Horz">
      <w:rPr>
        <w:rFonts w:ascii="Arial" w:hAnsi="Arial"/>
        <w:color w:val="404040"/>
        <w:sz w:val="22"/>
      </w:rPr>
      <w:tblPr/>
      <w:trPr>
        <w:hidden/>
      </w:trPr>
      <w:tcPr>
        <w:tc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tcBorders>
      </w:tcPr>
    </w:tblStyle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character" w:styleId="afa">
    <w:name w:val="line number"/>
    <w:basedOn w:val="a0"/>
    <w:semiHidden/>
  </w:style>
  <w:style w:type="character" w:styleId="afb">
    <w:name w:val="Hyperlink"/>
    <w:rPr>
      <w:color w:val="0000FF"/>
      <w:u w:val="single"/>
    </w:rPr>
  </w:style>
  <w:style w:type="table" w:styleId="12">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styleId="afc">
    <w:name w:val="Balloon Text"/>
    <w:basedOn w:val="a"/>
    <w:link w:val="afd"/>
    <w:uiPriority w:val="99"/>
    <w:semiHidden/>
    <w:unhideWhenUsed/>
    <w:rPr>
      <w:rFonts w:ascii="Tahoma" w:hAnsi="Tahoma" w:cs="Tahoma"/>
      <w:sz w:val="16"/>
      <w:szCs w:val="16"/>
    </w:rPr>
  </w:style>
  <w:style w:type="character" w:customStyle="1" w:styleId="afd">
    <w:name w:val="Текст выноски Знак"/>
    <w:basedOn w:val="a0"/>
    <w:link w:val="afc"/>
    <w:uiPriority w:val="99"/>
    <w:semiHidden/>
    <w:rPr>
      <w:rFonts w:ascii="Tahoma" w:hAnsi="Tahoma" w:cs="Tahoma"/>
      <w:sz w:val="16"/>
      <w:szCs w:val="16"/>
    </w:rPr>
  </w:style>
  <w:style w:type="paragraph" w:customStyle="1" w:styleId="13">
    <w:name w:val="Основной текст с отступом1"/>
    <w:pPr>
      <w:pBdr>
        <w:top w:val="none" w:sz="4" w:space="0" w:color="000000"/>
        <w:left w:val="none" w:sz="4" w:space="0" w:color="000000"/>
        <w:bottom w:val="none" w:sz="4" w:space="0" w:color="000000"/>
        <w:right w:val="none" w:sz="4" w:space="0" w:color="000000"/>
        <w:between w:val="none" w:sz="4" w:space="0" w:color="000000"/>
      </w:pBdr>
      <w:ind w:firstLine="5670"/>
    </w:pPr>
    <w:rPr>
      <w:rFonts w:ascii="Times New Roman" w:eastAsia="Times New Roman" w:hAnsi="Times New Roman" w:cs="Times New Roman"/>
      <w:b/>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98DF2733D8DE899A415DEB4538D38F02EA9CAB421BCFD50C8E84483F57DD2FC404B83733E2DDAFEQ9kEH"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consultantplus://offline/ref=6138EA7002C1004709DCBE45DD5232BD35A09BFD3E872DE614E7C1496A5B10936A98E94A8A4F33D579629E37D6A35FBB023D7659F20F1DF2A9oEM" TargetMode="External"/><Relationship Id="rId12"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17B7A1E8C69C11A08DC256882E34BECD225DDEECA5858069C2AFDA521C98210990A8CC895DB1CDDCEEC0C6D1D580A2BD7B3937462346WCu1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E5F3A2F595AB05790B265D9672FE1185DA33B01A6FC7E97A9CBF0C26FBDE8274B3C68CC1008Bt7e5M" TargetMode="External"/><Relationship Id="rId4" Type="http://schemas.openxmlformats.org/officeDocument/2006/relationships/webSettings" Target="webSettings.xml"/><Relationship Id="rId9" Type="http://schemas.openxmlformats.org/officeDocument/2006/relationships/hyperlink" Target="consultantplus://offline/ref=E4466047B08F98B1283633C68B4B130F1389287206E98852453EF1C557F0E4534D327EBCF260EC08D242562371FEA4CF1E58CE1E6652EA03SBPE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29</Pages>
  <Words>9565</Words>
  <Characters>54526</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Ибрагимова Ольга Владимировна</dc:creator>
  <cp:lastModifiedBy>Ибрагимова Ольга Владимировна</cp:lastModifiedBy>
  <cp:revision>23</cp:revision>
  <cp:lastPrinted>2026-04-15T10:21:00Z</cp:lastPrinted>
  <dcterms:created xsi:type="dcterms:W3CDTF">2025-05-15T08:55:00Z</dcterms:created>
  <dcterms:modified xsi:type="dcterms:W3CDTF">2026-04-15T10:21:00Z</dcterms:modified>
</cp:coreProperties>
</file>